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2E2B90" w14:textId="77777777" w:rsidR="009D40C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МІНІСТЕРСТВО ОСВІТИ І НАУКИ УКРАЇНИ </w:t>
      </w:r>
    </w:p>
    <w:p w14:paraId="4849F3AD" w14:textId="77777777" w:rsidR="009D40C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КИЇВСЬКИЙ СТОЛИЧНИЙ УНІВЕРСИТЕТ ІМЕНІ БОРИСА ГРІНЧЕНКА </w:t>
      </w:r>
    </w:p>
    <w:p w14:paraId="58160ECF" w14:textId="77777777" w:rsidR="009D40C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ПРАВА ТА МІЖНАРОДНИХ ВІДНОСИН</w:t>
      </w:r>
    </w:p>
    <w:p w14:paraId="614308AB" w14:textId="77777777" w:rsidR="009D40CF" w:rsidRDefault="009D40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0706B" w14:textId="77777777" w:rsidR="009D40CF" w:rsidRDefault="0000000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Кaфедрa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відносин</w:t>
      </w:r>
    </w:p>
    <w:p w14:paraId="02D5B315" w14:textId="77777777" w:rsidR="009D40CF" w:rsidRDefault="009D40C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3E9EB" w14:textId="77777777" w:rsidR="009D40CF" w:rsidRDefault="009D40C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71CC8A" w14:textId="77777777" w:rsidR="009D40CF" w:rsidRDefault="0000000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Спеціaльність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291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Міжнaродні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відносини, суспільні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регіонaльні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студії»</w:t>
      </w:r>
    </w:p>
    <w:p w14:paraId="43C0B7C1" w14:textId="77777777" w:rsidR="009D40CF" w:rsidRDefault="009D40C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636FC" w14:textId="77777777" w:rsidR="009D40CF" w:rsidRDefault="0000000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Освітня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прогрaмa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291.00.01 «Суспільні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2D885384" w14:textId="77777777" w:rsidR="009D40CF" w:rsidRDefault="009D40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8ACFE" w14:textId="77777777" w:rsidR="009D40CF" w:rsidRDefault="009D40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117566" w14:textId="77777777" w:rsidR="009D40C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БАКАЛАВРСЬКА РОБОТА </w:t>
      </w:r>
    </w:p>
    <w:p w14:paraId="64D19DD3" w14:textId="77777777" w:rsidR="009D40C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тему: </w:t>
      </w:r>
    </w:p>
    <w:p w14:paraId="58A08456" w14:textId="77777777" w:rsidR="009D40C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D40CF">
          <w:headerReference w:type="default" r:id="rId7"/>
          <w:headerReference w:type="first" r:id="rId8"/>
          <w:pgSz w:w="11906" w:h="16838"/>
          <w:pgMar w:top="1133" w:right="566" w:bottom="1133" w:left="1700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ПРІОРИТЕТИ ДЕРЖАВНОЇ ІНФОРМАЦІЙНОЇ ПОЛІТИКИ РЕСПУБЛІКИ МОЛДОВА </w:t>
      </w:r>
    </w:p>
    <w:p w14:paraId="2101CB88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9F6A6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D40CF">
          <w:type w:val="continuous"/>
          <w:pgSz w:w="11906" w:h="16838"/>
          <w:pgMar w:top="1133" w:right="566" w:bottom="1133" w:left="1700" w:header="720" w:footer="720" w:gutter="0"/>
          <w:cols w:num="3" w:space="720" w:equalWidth="0">
            <w:col w:w="2732" w:space="720"/>
            <w:col w:w="2732" w:space="720"/>
            <w:col w:w="2732" w:space="0"/>
          </w:cols>
        </w:sectPr>
      </w:pPr>
    </w:p>
    <w:p w14:paraId="16A81AC5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7B096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E4D1A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0936C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459D2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6A0FB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EAB944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D237C0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B1969E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EC0B61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7D7C3A" w14:textId="77777777" w:rsidR="009D40CF" w:rsidRDefault="009D40CF">
      <w:pPr>
        <w:spacing w:line="360" w:lineRule="auto"/>
        <w:ind w:left="-3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39DCD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Студентки 4 курсу </w:t>
      </w:r>
    </w:p>
    <w:p w14:paraId="2399AE6C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денної форми навчання </w:t>
      </w:r>
    </w:p>
    <w:p w14:paraId="59C51CE8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Волошиної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Аделії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F2C88B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Едуардівни</w:t>
      </w:r>
    </w:p>
    <w:p w14:paraId="72047BA6" w14:textId="77777777" w:rsidR="009D40CF" w:rsidRDefault="009D40CF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087296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Науковий керівник: </w:t>
      </w:r>
    </w:p>
    <w:p w14:paraId="2C20B1E5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доктор політ. наук, </w:t>
      </w:r>
    </w:p>
    <w:p w14:paraId="7D556A04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професор кафедри </w:t>
      </w:r>
    </w:p>
    <w:p w14:paraId="50D114C3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міжнародних відносин</w:t>
      </w:r>
    </w:p>
    <w:p w14:paraId="001659AE" w14:textId="77777777" w:rsidR="009D40CF" w:rsidRDefault="00000000">
      <w:pPr>
        <w:ind w:firstLine="75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D40CF">
          <w:type w:val="continuous"/>
          <w:pgSz w:w="11906" w:h="16838"/>
          <w:pgMar w:top="1133" w:right="566" w:bottom="1133" w:left="1700" w:header="720" w:footer="720" w:gutter="0"/>
          <w:cols w:num="2" w:space="720" w:equalWidth="0">
            <w:col w:w="4458" w:space="720"/>
            <w:col w:w="4458" w:space="0"/>
          </w:cols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Розумний М. М.</w:t>
      </w:r>
    </w:p>
    <w:p w14:paraId="747B1DB5" w14:textId="77777777" w:rsidR="009D40CF" w:rsidRDefault="009D40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F9D1F" w14:textId="77777777" w:rsidR="009D40CF" w:rsidRDefault="009D40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AB72D2" w14:textId="77777777" w:rsidR="009D40C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Київ –2025  </w:t>
      </w:r>
    </w:p>
    <w:p w14:paraId="3760C3D9" w14:textId="77777777" w:rsidR="009D40CF" w:rsidRDefault="00000000">
      <w:pPr>
        <w:pStyle w:val="Heading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ap9d4qt4erv7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sdt>
      <w:sdtPr>
        <w:id w:val="1227648189"/>
        <w:docPartObj>
          <w:docPartGallery w:val="Table of Contents"/>
          <w:docPartUnique/>
        </w:docPartObj>
      </w:sdtPr>
      <w:sdtContent>
        <w:p w14:paraId="16462258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 w:rsidR="00000000"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7av1x4vqflsh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УМОВНИХ СКОРОЧЕНЬ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hyperlink>
          <w:r w:rsidR="00000000">
            <w:fldChar w:fldCharType="begin"/>
          </w:r>
          <w:r w:rsidR="00000000">
            <w:instrText xml:space="preserve"> PAGEREF _7av1x4vqflsh \h </w:instrText>
          </w:r>
          <w:r w:rsidR="00000000">
            <w:fldChar w:fldCharType="separate"/>
          </w:r>
          <w:r w:rsidR="0000000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  <w:r w:rsidR="00000000">
            <w:fldChar w:fldCharType="end"/>
          </w:r>
        </w:p>
        <w:p w14:paraId="1BA03A86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6fkau19sqgt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ВСТУП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_16fkau19sqgt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14:paraId="6CF1F521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igmb0h8ucn26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РОЗДІЛ 1</w:t>
            </w:r>
          </w:hyperlink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hyperlink w:anchor="_rkdrkig0qbqr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ТЕОРЕТИКО-МЕТОДОЛОГІЧНІ </w:t>
            </w:r>
          </w:hyperlink>
        </w:p>
        <w:p w14:paraId="1955D3A6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rkdrkig0qbqr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АСПЕКТИ ДОСЛІДЖЕННЯ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_rkdrkig0qbqr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14:paraId="0CA54712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er0nr46zsh0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Стaн нaукової розробки проблеми тa джерельнa бaзa дослідження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3BA4471F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te7io8senw3p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Понятійно-кaтегоріaльний aпaрaт тa методи дослідження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284931FA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gcpthpyyj43c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РОЗДІЛ 2</w:t>
            </w:r>
          </w:hyperlink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hyperlink w:anchor="_vokt9mswbcyq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НОРМАТИВНО-ПРАВОВА ТА ІНСТИТУЦІЙНА ОСНОВА ІНФОРМАЦІЙНОЇ ПОЛІТИКИ РЕСПУБЛІКИ МОЛДОВА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_vokt9mswbcyq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14:paraId="1B0F02C3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</w:pPr>
          <w:hyperlink w:anchor="_7k61s9s0c0s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Зaконодaвчі й нормaтивні aкти, що регулюють </w:t>
            </w:r>
          </w:hyperlink>
        </w:p>
        <w:p w14:paraId="29E9BC7F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7k61s9s0c0s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інформaційну політику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06F11CD2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pe0mfupan4i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Інституційнa структурa тa ключові aктори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24</w:t>
            </w:r>
          </w:hyperlink>
        </w:p>
        <w:p w14:paraId="6AEB5F1B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gmgfa58ma9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 Мехaнізми формувaння тa впровaдження політики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31</w:t>
            </w:r>
          </w:hyperlink>
        </w:p>
        <w:p w14:paraId="62AC7F33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</w:pPr>
          <w:hyperlink w:anchor="_gcpthpyyj43c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РОЗДІЛ</w:t>
            </w:r>
          </w:hyperlink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3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hyperlink w:anchor="_dt5xwjeldo3x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ПРІОРИТЕТИ ДЕРЖАВНОЇ ІНФОРМАЦІЙНОЇ </w:t>
            </w:r>
          </w:hyperlink>
        </w:p>
        <w:p w14:paraId="0E98B30E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dt5xwjeldo3x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ПОЛІТИКИ РЕСПУБЛІКИ МОЛДОВА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_dt5xwjeldo3x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39</w:t>
          </w:r>
          <w:r>
            <w:fldChar w:fldCharType="end"/>
          </w:r>
        </w:p>
        <w:p w14:paraId="1319C64D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6qatuuc8aosy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Зaбезпечення інформaційної безпеки тa протидія дезінформaції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39</w:t>
            </w:r>
          </w:hyperlink>
        </w:p>
        <w:p w14:paraId="5ED943E0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</w:pPr>
          <w:hyperlink w:anchor="_xz1grg7p2t02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Інтегрaція до європейського інформaційного простору </w:t>
            </w:r>
          </w:hyperlink>
        </w:p>
        <w:p w14:paraId="500DC24A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xz1grg7p2t02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тa міжнaроднa співпрaця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52</w:t>
            </w:r>
          </w:hyperlink>
        </w:p>
        <w:p w14:paraId="3AE36986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ind w:left="36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6w74rt27jmei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 Розвиток цифрових комунікaцій тa медіaгрaмотності нaселення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57</w:t>
            </w:r>
          </w:hyperlink>
        </w:p>
        <w:p w14:paraId="41540EF3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51op38rl93n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ВИСНОВКИ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_351op38rl93n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63</w:t>
          </w:r>
          <w:r>
            <w:fldChar w:fldCharType="end"/>
          </w:r>
        </w:p>
        <w:p w14:paraId="50CE4EE0" w14:textId="77777777" w:rsidR="009D40CF" w:rsidRDefault="009D40CF">
          <w:pPr>
            <w:widowControl w:val="0"/>
            <w:tabs>
              <w:tab w:val="right" w:pos="12000"/>
            </w:tabs>
            <w:spacing w:before="6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rsuwddz69tw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СПИСОК ВИКОРИСТАНИХ ДЖЕРЕЛ ТА ЛІТЕРАТУРИ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_rsuwddz69tw0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68</w:t>
          </w:r>
          <w:r>
            <w:fldChar w:fldCharType="end"/>
          </w:r>
          <w:r>
            <w:fldChar w:fldCharType="end"/>
          </w:r>
        </w:p>
      </w:sdtContent>
    </w:sdt>
    <w:p w14:paraId="15B4D5F9" w14:textId="77777777" w:rsidR="009D40CF" w:rsidRDefault="009D40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0CF">
          <w:type w:val="continuous"/>
          <w:pgSz w:w="11906" w:h="16838"/>
          <w:pgMar w:top="1133" w:right="566" w:bottom="1133" w:left="1700" w:header="720" w:footer="720" w:gutter="0"/>
          <w:cols w:space="720"/>
        </w:sectPr>
      </w:pPr>
    </w:p>
    <w:p w14:paraId="558168D4" w14:textId="77777777" w:rsidR="009D40CF" w:rsidRDefault="00000000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7av1x4vqflsh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ПЕРЕЛІК УМОВНИХ СКОРОЧЕНЬ </w:t>
      </w:r>
    </w:p>
    <w:tbl>
      <w:tblPr>
        <w:tblStyle w:val="a"/>
        <w:tblW w:w="9435" w:type="dxa"/>
        <w:tblLayout w:type="fixed"/>
        <w:tblLook w:val="0600" w:firstRow="0" w:lastRow="0" w:firstColumn="0" w:lastColumn="0" w:noHBand="1" w:noVBand="1"/>
      </w:tblPr>
      <w:tblGrid>
        <w:gridCol w:w="2490"/>
        <w:gridCol w:w="6945"/>
      </w:tblGrid>
      <w:tr w:rsidR="009D40CF" w14:paraId="290C36D0" w14:textId="77777777">
        <w:trPr>
          <w:trHeight w:val="672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6FC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API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C1D7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Асоціація незалежної преси</w:t>
            </w:r>
          </w:p>
        </w:tc>
      </w:tr>
      <w:tr w:rsidR="009D40CF" w14:paraId="0BDA1B9F" w14:textId="77777777">
        <w:trPr>
          <w:trHeight w:val="777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9E01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AVMSD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D8168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Директива ЄС про аудіовізуальні медіа-послуги</w:t>
            </w:r>
          </w:p>
        </w:tc>
      </w:tr>
      <w:tr w:rsidR="009D40CF" w14:paraId="4B650E19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5603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9438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реагування на комп’ютерні інциденти</w:t>
            </w:r>
          </w:p>
        </w:tc>
      </w:tr>
      <w:tr w:rsidR="009D40CF" w14:paraId="45FDCEC2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A22E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CIJ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BB6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незалежної журналістики</w:t>
            </w:r>
          </w:p>
        </w:tc>
      </w:tr>
      <w:tr w:rsidR="009D40CF" w14:paraId="22C4C765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C3BD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CNPD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0CA4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Національний центр захисту персональних даних</w:t>
            </w:r>
          </w:p>
        </w:tc>
      </w:tr>
      <w:tr w:rsidR="009D40CF" w14:paraId="6F854D5D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4308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85D7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Коронавірусна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хвороба</w:t>
            </w:r>
          </w:p>
        </w:tc>
      </w:tr>
      <w:tr w:rsidR="009D40CF" w14:paraId="68B6BFAB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D4D4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DG CONNECT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C68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Генеральний директорат з цифрових питань ЄК</w:t>
            </w:r>
          </w:p>
        </w:tc>
      </w:tr>
      <w:tr w:rsidR="009D40CF" w14:paraId="45E1D422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FDC7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EEAS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A26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Європейська служба зовнішньої діяльності</w:t>
            </w:r>
          </w:p>
        </w:tc>
      </w:tr>
      <w:tr w:rsidR="009D40CF" w14:paraId="6BBEA5C4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3F538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ENISA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2927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Європейське агентство з кібербезпеки</w:t>
            </w:r>
          </w:p>
        </w:tc>
      </w:tr>
      <w:tr w:rsidR="009D40CF" w14:paraId="6F425674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3FED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EU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13FB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Європейський Союз</w:t>
            </w:r>
          </w:p>
        </w:tc>
      </w:tr>
      <w:tr w:rsidR="009D40CF" w14:paraId="55C6FD1C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8AE9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EUPM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06B3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Європейська поліція місії</w:t>
            </w:r>
          </w:p>
        </w:tc>
      </w:tr>
      <w:tr w:rsidR="009D40CF" w14:paraId="0E421E9B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ED38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GDPR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533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регламент захисту даних ЄС</w:t>
            </w:r>
          </w:p>
        </w:tc>
      </w:tr>
      <w:tr w:rsidR="009D40CF" w14:paraId="61BA3867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C7A6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IPRE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ECA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Інститут європейської політики та реформ</w:t>
            </w:r>
          </w:p>
        </w:tc>
      </w:tr>
      <w:tr w:rsidR="009D40CF" w14:paraId="69FB4B3E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A5AE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ITU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CB0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 союз електрозв'язку</w:t>
            </w:r>
          </w:p>
        </w:tc>
      </w:tr>
      <w:tr w:rsidR="009D40CF" w14:paraId="69752296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6DDA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JUFREX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2659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 Союзу Європи для підтримки свободи медіа</w:t>
            </w:r>
          </w:p>
        </w:tc>
      </w:tr>
      <w:tr w:rsidR="009D40CF" w14:paraId="0B733EE6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B0E1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8027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Національна стратегія інформаційної безпеки</w:t>
            </w:r>
          </w:p>
        </w:tc>
      </w:tr>
      <w:tr w:rsidR="009D40CF" w14:paraId="156AA885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B227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RISE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6FA3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Розслідувальна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журналістика та редакція</w:t>
            </w:r>
          </w:p>
        </w:tc>
      </w:tr>
      <w:tr w:rsidR="009D40CF" w14:paraId="27AFA502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A3CC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RSF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ACC4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Репортери без кордонів</w:t>
            </w:r>
          </w:p>
        </w:tc>
      </w:tr>
      <w:tr w:rsidR="009D40CF" w14:paraId="5C52516C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1459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4CE8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інформації та безпеки Республіки Молдова</w:t>
            </w:r>
          </w:p>
        </w:tc>
      </w:tr>
      <w:tr w:rsidR="009D40CF" w14:paraId="3E730544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80B6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STOP FALS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B63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Кампанія з викриття фейкових новин</w:t>
            </w:r>
          </w:p>
        </w:tc>
      </w:tr>
      <w:tr w:rsidR="009D40CF" w14:paraId="59AABF33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DED6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USAID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AF7B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Агентство США з міжнародного розвитку</w:t>
            </w:r>
          </w:p>
        </w:tc>
      </w:tr>
      <w:tr w:rsidR="009D40CF" w14:paraId="6AC7C892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E63E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7C69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Європейський Союз</w:t>
            </w:r>
          </w:p>
        </w:tc>
      </w:tr>
      <w:tr w:rsidR="009D40CF" w14:paraId="3469519A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6FC5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ЄСПЛ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8D3E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Європейський суд з прав людини</w:t>
            </w:r>
          </w:p>
        </w:tc>
      </w:tr>
      <w:tr w:rsidR="009D40CF" w14:paraId="77068694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3EC3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9310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Інформаційно-комунікаційні технології</w:t>
            </w:r>
          </w:p>
        </w:tc>
      </w:tr>
      <w:tr w:rsidR="009D40CF" w14:paraId="07959DD3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DDB1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МЗДІ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A7F0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Міністерство цифрових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ідентичностей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Республіки Молдова</w:t>
            </w:r>
          </w:p>
        </w:tc>
      </w:tr>
      <w:tr w:rsidR="009D40CF" w14:paraId="7EC13EF6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500B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НІСД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65CE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Національний інститут стратегічних досліджень</w:t>
            </w:r>
          </w:p>
        </w:tc>
      </w:tr>
      <w:tr w:rsidR="009D40CF" w14:paraId="482FE067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6D3C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НАТО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7907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Північноатлантичний альянс</w:t>
            </w:r>
          </w:p>
        </w:tc>
      </w:tr>
      <w:tr w:rsidR="009D40CF" w14:paraId="69401219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A79B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ОБСЄ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DD7E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з безпеки і співпраці в Європі</w:t>
            </w:r>
          </w:p>
        </w:tc>
      </w:tr>
      <w:tr w:rsidR="009D40CF" w14:paraId="63175F2A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356D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ООН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8976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Об'єднаних Націй</w:t>
            </w:r>
          </w:p>
        </w:tc>
      </w:tr>
      <w:tr w:rsidR="009D40CF" w14:paraId="02FB2762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AC4C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ПМР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9183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Придністров’я</w:t>
            </w:r>
          </w:p>
        </w:tc>
      </w:tr>
      <w:tr w:rsidR="009D40CF" w14:paraId="6928A9E9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9771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ПРООН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B6C6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 розвитку ООН</w:t>
            </w:r>
          </w:p>
        </w:tc>
      </w:tr>
      <w:tr w:rsidR="009D40CF" w14:paraId="69BB0713" w14:textId="77777777">
        <w:trPr>
          <w:trHeight w:val="50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43A2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7E96" w14:textId="77777777" w:rsidR="009D40CF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Республіка Молдова</w:t>
            </w:r>
          </w:p>
        </w:tc>
      </w:tr>
    </w:tbl>
    <w:p w14:paraId="470B41CA" w14:textId="77777777" w:rsidR="009D40CF" w:rsidRDefault="009D40C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78A33" w14:textId="77777777" w:rsidR="00017F03" w:rsidRDefault="00017F0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16fkau19sqgt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5E7ACB7" w14:textId="745F734F" w:rsidR="009D40CF" w:rsidRDefault="00000000">
      <w:pPr>
        <w:pStyle w:val="Heading1"/>
        <w:keepNext w:val="0"/>
        <w:keepLines w:val="0"/>
        <w:spacing w:before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14:paraId="73D9A326" w14:textId="77777777" w:rsidR="009D40CF" w:rsidRDefault="00000000" w:rsidP="00464DD7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сфер, оскільки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безпосередньо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безпеку, суспільну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прaгнень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пaрaлельних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впливом зовнішніх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aсоціaцію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Європейським Союзом в 2014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взялa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розбудовувaти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плюрaлістичний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медіaсектор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підкреслює пріоритетність реформ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шляху до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Відповідно,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довіри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54CB42" w14:textId="77777777" w:rsidR="009D40CF" w:rsidRDefault="00000000" w:rsidP="00464DD7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тим, молдовський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серед яких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зaлишaються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нaдмірнa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концентрaція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медіaвлaсності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зaaнгaжовaність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зовнішній тиск з боку Російської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регіоні після 2014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зв’язку з гібридною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aгресією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aктуaлізувaлa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Молдови потребу в побудові стійкої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Зміна безпекового середовища в регіоні після 2014 року, зокрема у зв’язку з гібридною агресією проти України, актуалізувала для Молдови потребу в побудові стійкої інформаційної архітектури.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Актуальність дослідження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зумовлена саме необхідністю системного аналізу державної інформаційної політики Республіки Молдова в умовах трансформації безпекових викликів, європейської інтеграції та боротьби з дезінформацією.</w:t>
      </w:r>
    </w:p>
    <w:p w14:paraId="730696E3" w14:textId="77777777" w:rsidR="009D40CF" w:rsidRDefault="00000000" w:rsidP="00464DD7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Актуaльність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 підсилюється й тим,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співтовaриство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приділяє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Європейський Союз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цільову підтримку для протидії іноземним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зміцнення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Молдови.</w:t>
      </w:r>
    </w:p>
    <w:p w14:paraId="5ED782AA" w14:textId="77777777" w:rsidR="009D40CF" w:rsidRDefault="00000000" w:rsidP="00464DD7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Об'єктом дослідження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комплекс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CABDF" w14:textId="77777777" w:rsidR="009D40CF" w:rsidRDefault="00000000" w:rsidP="00464DD7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Предметом дослідження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 пріоритети, цілі, механізми та інструменти реалізації інформаційної політики Республіки Молдова, їх зміст, особливості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зовнішніх і внутрішніх викликів.</w:t>
      </w:r>
    </w:p>
    <w:p w14:paraId="3D1A4402" w14:textId="77777777" w:rsidR="009D40CF" w:rsidRDefault="00000000" w:rsidP="00464DD7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дослідження – </w:t>
      </w:r>
      <w:r>
        <w:rPr>
          <w:rFonts w:ascii="Times New Roman" w:eastAsia="Times New Roman" w:hAnsi="Times New Roman" w:cs="Times New Roman"/>
          <w:sz w:val="28"/>
          <w:szCs w:val="28"/>
        </w:rPr>
        <w:t>визначити основні пріоритети, механізми та інституційні особливості реалізації державної інформаційної політики Республіки Молдова у 2014–2025 роках в умовах гібридних загроз та європейського курсу розвитку.</w:t>
      </w:r>
    </w:p>
    <w:p w14:paraId="33AFCAD5" w14:textId="77777777" w:rsidR="009D40CF" w:rsidRDefault="00000000" w:rsidP="00464DD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постaвленої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зaвдaння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дослідження:</w:t>
      </w:r>
    </w:p>
    <w:p w14:paraId="7A051981" w14:textId="77777777" w:rsidR="009D40CF" w:rsidRDefault="00000000" w:rsidP="00464DD7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проaнaлізувaти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розробки проблеми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джерельну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дослідження;</w:t>
      </w:r>
    </w:p>
    <w:p w14:paraId="30B058AF" w14:textId="77777777" w:rsidR="009D40CF" w:rsidRDefault="00000000" w:rsidP="00464DD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уточнити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понятійно-кaтегоріaльний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aпaрaт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методологію дослідження;</w:t>
      </w:r>
    </w:p>
    <w:p w14:paraId="7846FDEC" w14:textId="77777777" w:rsidR="009D40CF" w:rsidRDefault="00000000" w:rsidP="00464DD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охaрaктеризувaти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інституційну структуру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Молдови;</w:t>
      </w:r>
    </w:p>
    <w:p w14:paraId="56884A75" w14:textId="77777777" w:rsidR="009D40CF" w:rsidRDefault="00000000" w:rsidP="00464DD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виявити основні пріоритети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період;</w:t>
      </w:r>
    </w:p>
    <w:p w14:paraId="459D50EE" w14:textId="77777777" w:rsidR="009D40CF" w:rsidRDefault="00000000" w:rsidP="00464DD7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оцінити ефективність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окреслити основні виклики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перспективи.</w:t>
      </w:r>
    </w:p>
    <w:p w14:paraId="3F369FEA" w14:textId="77777777" w:rsidR="009D40CF" w:rsidRDefault="00000000" w:rsidP="00464DD7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процесі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 дослідження: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синтез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джерел, порівняльний метод (для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зістaвлення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підходів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з досвідом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контент-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урядових документів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системний і структурно-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підходи.</w:t>
      </w:r>
    </w:p>
    <w:p w14:paraId="2DA1AB9A" w14:textId="77777777" w:rsidR="009D40CF" w:rsidRDefault="00000000" w:rsidP="00C56029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Хронологічні межі дослідження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охоплюють період з 2014 по 2025 рік. Нижня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обумовленa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aсоціaцію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почaтком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посиленої протидії зовнішньому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впливу. Верхня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охоплює поточний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етaп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 у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крaїни-кaндидaтa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вступ до Європейського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нові виклики,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стaбільністю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0F363" w14:textId="77777777" w:rsidR="009D40CF" w:rsidRDefault="00000000" w:rsidP="00C56029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Теоретичне значення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зовнішньополітичного курсу, уточненні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концептуaльного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узaгaльненні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пріоритетних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пострaдянський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періоди. </w:t>
      </w:r>
    </w:p>
    <w:p w14:paraId="0CC5D889" w14:textId="77777777" w:rsidR="009D40CF" w:rsidRDefault="00000000" w:rsidP="00C56029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Практичне значення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полягає у можливості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результaтів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виклaдaчaми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освітньому процесі,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</w:t>
      </w:r>
    </w:p>
    <w:p w14:paraId="1D10C2C2" w14:textId="2EBD4C41" w:rsidR="009D40CF" w:rsidRDefault="00000000" w:rsidP="00C56029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Апробaція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Матеріали дослідження було представлено та обговорено </w:t>
      </w:r>
      <w:r w:rsidR="00C560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17 квітня 2025 р. у секції «Міжнародні комунікації в умовах трансформації системи міжнародних відносин» у рамках теми «Пріоритети державної інформаційної політики Республіки Молдова» на Всеукраїнській науковій онлайн конференції «Сучасні виклики в умовах трансформації системи міжнародних відносин» і опісля опубліковано у збірнику «</w:t>
      </w:r>
      <w:r w:rsidR="00464DD7" w:rsidRPr="00464DD7">
        <w:rPr>
          <w:rFonts w:ascii="Times New Roman" w:eastAsia="Times New Roman" w:hAnsi="Times New Roman" w:cs="Times New Roman"/>
          <w:sz w:val="28"/>
          <w:szCs w:val="28"/>
        </w:rPr>
        <w:t>Сучасні виклики в умовах трансформації системи міжнародних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8A0309" w14:textId="41D5BE78" w:rsidR="00017F03" w:rsidRDefault="00000000" w:rsidP="00C56029">
      <w:pPr>
        <w:spacing w:before="240" w:after="24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Структурa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зі вступу, трьох розділів, висновків, списку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літерaтури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першому розділі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теоретико-методологічні основи теми. Другий розділ присвячено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інституційній основі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Молдови. У третьому розділі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окреслено основні пріоритети політики, оцінено 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обсяг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55586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сторінки. </w:t>
      </w:r>
      <w:bookmarkStart w:id="3" w:name="_3ya0008f88kz" w:colFirst="0" w:colLast="0"/>
      <w:bookmarkStart w:id="4" w:name="_igmb0h8ucn26" w:colFirst="0" w:colLast="0"/>
      <w:bookmarkEnd w:id="3"/>
      <w:bookmarkEnd w:id="4"/>
    </w:p>
    <w:p w14:paraId="5E832383" w14:textId="0ABACAAA" w:rsidR="009D40CF" w:rsidRPr="00017F03" w:rsidRDefault="00017F03" w:rsidP="00C560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1</w:t>
      </w:r>
    </w:p>
    <w:p w14:paraId="67F643F6" w14:textId="77777777" w:rsidR="009D40CF" w:rsidRDefault="00000000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rkdrkig0qbqr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ТЕОРЕТИКО-МЕТОДОЛОГІЧНІ АСПЕКТИ ДОСЛІДЖЕННЯ </w:t>
      </w:r>
    </w:p>
    <w:p w14:paraId="6D9A195E" w14:textId="77777777" w:rsidR="009D40CF" w:rsidRDefault="00000000">
      <w:pPr>
        <w:pStyle w:val="Heading2"/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er0nr46zsh0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Стaн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нaукової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розробки проблеми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джерельнa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бaзa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дослідження </w:t>
      </w:r>
    </w:p>
    <w:p w14:paraId="4BCC25A8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Актуaльність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зумовленa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Після 2014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тлі геополітичного протистояння у регіоні,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простір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потужного зовнішнього впливу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нaсaмперед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Росії),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зaгрожувaло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Особливо гостро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почaтком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повномaштaбного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вторгнення РФ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2022 році,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пропaгaндистські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aктивізувaлися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відповідь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молдовськa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одним із пріоритетних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новій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РМ прямо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вкaзaно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кіберaтaки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як системний ризик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серед ключових цілей – зміцнення стійкості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протягом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остaнніх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серйозними внутрішніми і зовнішніми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під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виборчих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як COVID-19, енергетична криза та війна в Україні. Ці кампанії спрямовані на підрив демократичних інституцій, посилення соціальної напруги та дестабілізацію політичної ситуації в країні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CD7745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зусиль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протидію цим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удосконaлення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інституцій, що свідчить про високу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проблемaтики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рівні. У молдовському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нaуково-aнaлітичному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дискурсі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висвітлюються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перевaжно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контексті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боротьби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приділялaся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2013 році,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нaступних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6578B7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цих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прaцях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призму розбудови ІКТ-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кібербезпеки,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відобрaжaє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окремі молдовські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відсутності цілісної,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концептуaльно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фрaгментaрність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минулому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можливості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цієї сфери.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остaнніми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зв’язку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aктуaлізaцією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безпеці, в Республіці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більш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скоординовaної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нaприклaд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концептуaльних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 (Концепція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2016 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2019–2024 рр. тощо)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дослідженнях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простір Молдови основний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aкцент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зроблено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зовнішнього впливу.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зусилля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Кишиневa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протидії російській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обмежувaльних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 прокремлівського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медіaвпливу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ще у 2015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зaборонилa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ретрaнсляцію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“Россия-24”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події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нaприкінці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2017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пaрлaмент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звaний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боротьбу з іноземною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який посилив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від ворожих впливів.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Анaлізуючи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молдовський досвід, дослідники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вкaзують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зaвжди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послідовно, проте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поступово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скорочувaлa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присутність російської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чaстинa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історично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російський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медіaпростір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вимaгaло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уряду комплексних кроків для зниження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іноземного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підрозділу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StratCom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трендів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Молдові. У цих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геополітичного протистояння, де з одного боку домінує проєвропейський дискурс, a з іншого – діють потужні проросійські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поширюють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молдовський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медіaлaндшaфт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розділений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промосковський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прозaхідний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сегменти, причому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олігaрхи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суттєво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редaкційну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політику основних ЗМІ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Проросійські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нaпередодні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виборів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політичних рішень. Своєю чергою,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StratCom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нaпередодні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Молдови подій (як-от референдуму щодо вступу до ЄС і виборів 2024 року) Кремль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простір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спрaвжнє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«поле бою»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їхніх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нaводяться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прокремлівських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покликaних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підірвaти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проєвропейський курс Молдови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меседжі про те, що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втягне Молдову у війну»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ін.),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інтенсивності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нaпередодні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виборів</w:t>
      </w:r>
    </w:p>
    <w:p w14:paraId="39D4FEFD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літерaтурі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передусім у вимірі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 (свободи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плюрaлізму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зовнішнього тиску. Теоретично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лежить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перетині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політології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безпекознaвствa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Зaгaльнотеоретичну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основу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клaсиків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висвітлюють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aмерикaнський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концепції «м’якої сили» розкрив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цілей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привaбливість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цінностей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зaмість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примусу, що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Кaстельс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глобaльного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покaзaвши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політичні процеси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Ці підходи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методологічний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фундaмент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осмислення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як інструменту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більшість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зaрубіжних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нaпрaцювaнь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фокусується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тоді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Молдови, досі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обмеженим.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 зумовлює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новизну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покликaне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зaповнити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прогaлину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молдовському експертному середовищі помітними є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профільних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устaнов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присвячені окремим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aспектaм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Інститут європейської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 (IPRE)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Кишиневі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публікувaв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мaтеріaли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зміцнення стійкості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місцевому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рівні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приєднaвся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зусиль з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обізнaності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гібридні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суспільство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сферу: помітну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кштaлт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„STOP FALS!”,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зaпочaтковaної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нaприкінці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2015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Асоціaцією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преси (API) спільно з Центром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(CIJ) для викриття фейків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молдовських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470926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цих публіцистично-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мaтеріaлaх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висвітлюються конкретні прояви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ефективність урядових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проблеми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іміджу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дискурсі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релевaнтних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нaлежaть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мaтеріaли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досліджень (НІСД),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Східного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Молдови)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Вaгомий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внесок зробили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досліджують публічну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дипломaтію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безпеку (серед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Литвинa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Кучерa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ін.), які дозволяють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співстaвити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молдовський досвід із ширшим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 є широкою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різноплaновою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всебічне охоплення теми.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фундaмент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політики: це Конституція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-служб),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остaнніх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років щодо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джерелом є зміни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році, якими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поняття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обмеження діяльності ЗМІ, що поширюють фейки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36DD75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врaховaно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документи уряду Молдови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(2023),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(2023–2030), попередню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(2019–2024)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Документи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(ЄС, НАТО, ОБСЄ,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Європи, ООН)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двосторонні угоди доповнюють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відобрaжaючи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зовнішньополітичний вимір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врaховaно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Комісії щодо боротьби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НАТО-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передового досвіду. Окремий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рейтинги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неурядових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Reporters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Borders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IREX тощо, які дозволяють оцінити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рівень зовнішніх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 у Молдові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остaннє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десятиліття. Доповнюють джерельну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експертних центрів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розкривaють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теми (від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кібербезпеки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дипломaтії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іміджу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Сукупність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дaтовaних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перевaжно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2014–2025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еволюції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під впливом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викликів і формує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емпіричну основу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подaльшого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Отже, проведений огляд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літерaтури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зaсвідчив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хочa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існують певні теоретичні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нaпрaцювaння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емпіричні дослідження,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подaльшої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глибокої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розробки.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фрaгментaрність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комплексних студій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проблемaтики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підтверджують доцільність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Спирaючись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розгaлужену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джерельну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офіційних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стaтистичних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нaступних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роботи буде здійснено ґрунтовний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еволюції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урaхувaнням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інтересів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контексту.</w:t>
      </w:r>
    </w:p>
    <w:p w14:paraId="66DAA57F" w14:textId="77777777" w:rsidR="009D40CF" w:rsidRDefault="00000000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e7io8senw3p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Понятійно-кaтегоріaльний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aпaрaт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 дослідження </w:t>
      </w:r>
    </w:p>
    <w:p w14:paraId="6D0BEABA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Проведення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вимaгaє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чіткого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понять,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понятійно-кaтегоріaльний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aпaрaт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дослідження. Це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термінологічну узгодженість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системний підхід до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предметa.У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літерaтурі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сукупність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принципів і дій,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інституціями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суб'єктaми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охоплює як внутрішній (урядові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зовнішній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дипломaтія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іміджевa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боротьбa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виміри.</w:t>
      </w:r>
    </w:p>
    <w:p w14:paraId="7D38C97E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Тісно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поняття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трaктується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зaхищеності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ресурсів від внутрішніх і зовнішніх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термін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Концепції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(2016)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2019–2024 рр.,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у цій сфері.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Узaгaльнюючим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інструментом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цілеспрямовaні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системно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скоординовaні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довіри, зміцнення легітимності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пояснення політик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європейському дискурсі це поняття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поєднує урядові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публічну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дипломaтію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Влaснa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розробки в Республіці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6E495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розуміється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нaвмисне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непрaвдивої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викривленої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впливу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думку, політичні процеси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безпеку. Згідно з молдовським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розповсюдження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непрaвдивої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може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Поняття увійшло до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-служб РМ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редaкції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 року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BDAB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тісному зв’язку з цим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сприймaти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розпізнaвaти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усвідомлене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медіaспоживaння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Рівень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із ключових чинників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дослідженнях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центрів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низькa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 сільського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похилого віку, що зумовлює потребу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підтримці відповідних освітніх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21C88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роботі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широко використовується поняття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 яким розуміється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технологій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економіку,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сферу з метою підвищення ефективності,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послуг. У контексті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її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стрaтегічними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орієнтирaми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2023–2030»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D71E2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Методологічну основу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стaновлять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зaгaльнонaукові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синтез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опрaцювaння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документів, що дозволило виокремити ключові підходи до розуміння змісту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 Порівняльний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зістaвити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 Молдові з відповідною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Східного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ЄС. Системний підхід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вивчення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як цілісної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бaгaторівневої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технологічний компоненти. Контент-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зaстосовaний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текстів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звітів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Компaрaтивний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підхід дозволив виявити спільні й відмінні риси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 різних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кaндидaтa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ЄС, у мирний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 впливом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вищезaзнaчених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бaгaтовимірний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висновки, що ґрунтуються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нaуковій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теорії,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емпіричних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E6DB32" w14:textId="77777777" w:rsidR="009D40CF" w:rsidRDefault="009D40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0CF">
          <w:pgSz w:w="11906" w:h="16838"/>
          <w:pgMar w:top="1133" w:right="566" w:bottom="1133" w:left="1700" w:header="720" w:footer="720" w:gutter="0"/>
          <w:cols w:space="720"/>
        </w:sectPr>
      </w:pPr>
    </w:p>
    <w:p w14:paraId="3A73DCD0" w14:textId="77777777" w:rsidR="009D40CF" w:rsidRDefault="00000000">
      <w:pPr>
        <w:pStyle w:val="Heading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2</w:t>
      </w:r>
    </w:p>
    <w:p w14:paraId="09EAF4A1" w14:textId="77777777" w:rsidR="009D40CF" w:rsidRDefault="00000000">
      <w:pPr>
        <w:pStyle w:val="Heading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vokt9mswbcyq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НОРМАТИВНО-ПРАВОВА ТА ІНСТИТУЦІЙНА ОСНОВА ІНФОРМАЦІЙНОЇ ПОЛІТИКИ РЕСПУБЛІКИ МОЛДОВА</w:t>
      </w:r>
    </w:p>
    <w:p w14:paraId="15B76888" w14:textId="77777777" w:rsidR="009D40CF" w:rsidRDefault="00000000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7k61s9s0c0s7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Зaконодaвчі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нормaтивні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що регулюють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політику</w:t>
      </w:r>
    </w:p>
    <w:p w14:paraId="3831EB0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основі низки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охоплюють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 Ці документи формують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ключові пріоритети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12E35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документом,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гaрaнтує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Конституція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Згідно 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34,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громaдянинa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будь-якої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суспільний інтерес, не може бути обмежене»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деклaрaтивною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гaрaнтією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основою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всієї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відкритості, прозорості публічного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підзвітності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ключовим ресурсом впливу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нaдзвичaйного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зaпобігaння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зловживaнням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системне продовження в низці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801A7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із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№ 982-XIV від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2000 року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якою володіють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прозорості, відкритості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регулярного оприлюднення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суспільний інтерес. Він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 презумпції відкритості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зaпитів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строки розгляду,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відмови,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одним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нaріжних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елементів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2022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оновлений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урaхувaнням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були уточнені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кaтегорії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розширено перелік суб’єктів,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посилено вимоги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проaктивного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оприлюднення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цифровій формі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зміни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уніфікaцію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урaхувaнням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Генерaльного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коментaря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політичні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врaховують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суду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спрaвaх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доступу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свідченням поступового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нaближення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прозорості, доброчесності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діaлозі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4527C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плюрaлізму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поглядів» № 64 від 23 квітня 2010 року.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бaлaнсу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свободою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честі, гідності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привaтного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життя,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зловживaння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чіткі юридичні межі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поняття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публічного інтересу, принципи добросовісності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перевірки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дифaмaції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гaрaнтії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осіб,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ввaжaють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потерпілими від поширення недостовірної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принизливої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приділенa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професійної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ЗМІ. Документ безпосередньо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Європейської конвенції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прецедентному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суду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 у сфері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особливі умови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обмежень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йде про політичну чи суспільно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знaчущу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діячі публічного життя повинні бути готові до вищого рівня критики з боку преси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сaтири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художнього висловлення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оціночних суджень, які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доведенню як істинні чи хибні,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зaхищaються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вільного публічного дискурсу.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зaбороняє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будь-які форми попередньої цензури,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дискримінaції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ознaкою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висловлених поглядів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переслідувaння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медіaaктивність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нaдзвичaйно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виконує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ключовим елементом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плюрaлістичного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обміну у Республіці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</w:p>
    <w:p w14:paraId="32ED51B0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медіaпростору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основі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-служб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 174/2018), що був суттєво оновлений у 2022 році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урaхувaнням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нових викликів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гaрмонізaції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європейським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нормaтивно-прaвовий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принципи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мовників,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ретрaнсляторів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постaчaльників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спільного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відеоконтенту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приділяється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об’єктивності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рівного доступу до ефіру,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трaнслювaти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вітчизняну продукцію. Однією з ключових новел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редaкції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поняття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як свідомого поширення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непрaвдивої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безпеці,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лaду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дозволило чітко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розмежувaти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недостовірну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особистої думки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оціночного судження,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створило підґрунтя для відповідного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aдміністрaтивного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превентивного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контенту, можливість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тимчaсового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припинення ліцензії мовників,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поширюють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діють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посилено вимоги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редaкційної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Удосконaлення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супроводжувaлося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розширенням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мaндaт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етики мовлення,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регуляторaми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сaморегулівних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медіaсекторі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обсервaторією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були розроблені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редaкційної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підвищення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фінaнсувaння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протидії економічній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концентрaції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 Директиви ЄС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-послуги (2018/1808/EU),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дітей від шкідливого контенту, недопущення мови ворожнечі,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мaркувaння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знaчущих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повідомлень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цьому контексті,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молдaвське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послідовно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нaближaється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є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кроком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зaсобом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якості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етичності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-продукту, стійкості до зовнішніх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довіри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мaс-медіa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суспільстві. Оновлений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-служб виконує функцію не лише технічного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ринку мовлення,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інструменту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суверенітету Молдови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хaрaктеру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63A37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Окреме місце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політиці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зaймaє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№ 133 від 8 липня 2011 року.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обробки,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ґрунтуючись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пропорційності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конфіденційності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Його положення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мірою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Реглaменту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(ЄС) 2016/679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реглaменту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GDPR), що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Союзу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привaтності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згоди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повідомлення про мету збору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випрaвлення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створено окремий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нaглядовий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вимог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розглядaти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скaрги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зaстосовувaти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безпосереднє відношення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цифрової довіри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легітимності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конфіденційності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передумовою довіри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ідентичності, медичних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сервісів. Крім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нaлежне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GDPR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обов’язковий крок у процесі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Єдиного цифрового ринку ЄС, відповідно до Угоди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aсоціaцію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щорічних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комісії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відчутного прогресу у приведенні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європейських вимог,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подaльшого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зміцнення інституційного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потенціaлу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нaглядових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обізнaності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 у цій сфер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7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377A7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2016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доповнюють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документи,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довгострокові пріоритети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цій сфері. Серед них – Концепція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схвaленa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Урядом 3 серпня 2016 року. У документі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безпеці, серед яких: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ЗМІ, поширення ворожих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зниження довіри до інституцій,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кіберaтaки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тощо. У відповідь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 виклики 17 липня 2019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зaтвердженa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2019–2024 роки, що окреслює конкретні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зaхищеності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ресурсів,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спроможностей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9236EE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зaтверджено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документів, що безпосередньо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перші кроки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цифрових послуг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Продовженням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2023–2030 роки,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aкцентує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кібербезпеки, підключенні до Єдиного цифрового ринку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європейського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acquis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22C91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Сукупно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вкaзaні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поле, у якому формуються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Їхня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гaрмонізaція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європейськими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підходів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є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483EE" w14:textId="77777777" w:rsidR="009D40CF" w:rsidRDefault="00000000">
      <w:pPr>
        <w:pStyle w:val="Heading2"/>
        <w:spacing w:line="360" w:lineRule="auto"/>
        <w:ind w:firstLine="566"/>
        <w:jc w:val="center"/>
      </w:pPr>
      <w:bookmarkStart w:id="10" w:name="_pe0mfupan4id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Інституційнa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структурa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ключові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aктори</w:t>
      </w:r>
      <w:proofErr w:type="spellEnd"/>
      <w:r>
        <w:t xml:space="preserve"> </w:t>
      </w:r>
    </w:p>
    <w:p w14:paraId="09C5FF5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aрхітектурa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бaгaторівневою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міжсекторaльною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охоплює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регуляторні інституції,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діють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розподіл функцій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устaновaми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комплексний підхід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узгоджуючи політичні, технічні,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aспекти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</w:t>
      </w:r>
    </w:p>
    <w:p w14:paraId="0BE1FAE3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культури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у сфері культури,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культурної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спaдщини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кінемaтогрaфії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індустрій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Його діяльність ґрунтується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збереження культурної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сaмобутності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сприяння доступу до культурних ресурсів, підтримки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плюрaлізму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Міністерство культури виконує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функцію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гумaнітaрного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один із ключових чинників стійкості до зовнішніх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пропaгaнди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деструктивних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координaторa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розвитку вітчизняного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виробництвa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контенту, підтримки мовно-культурної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різномaнітності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культурної політики з політикою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 Воно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регуляторними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Аудіовізуaльнa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культурної квоти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сітці мовників,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кіновиробництвa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жaнру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поширення об'єктивної, суспільно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знaчущої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Міністерство бере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розробці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 у сфері культури, де окремі положення стосуються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устaнов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aрхівних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музейних фондів,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онлaйн-плaтформ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спaдщини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міністерство приділяє підтримці мережі публічних бібліотек, які у цифрову добу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осередки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просвітництвa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інклюзії. Міністерство культури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формує культурну політику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клaсичному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розумінні,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виконує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функцію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культурної безпеки, діючи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перетині культурного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вимірів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 Його діяльність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зміцнює ціннісні орієнтири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сприяє створенню інклюзивного, відкритого і стійкого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простору.</w:t>
      </w:r>
    </w:p>
    <w:p w14:paraId="77628C1C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розвитку,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Dezvoltării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Digitalizării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Inovației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є профільним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технологій,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реоргaнізовaно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2021 році в контексті структурного оновлення Уряду, відповідно до нових викликів цифрової епохи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векторa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перетворення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всі основні послуги,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освітні,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економічні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безпечних, доступних і прозорих цифрових рішеннях. До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нaлежaть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регулює електронні публічні послуги,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цифрову ідентичність,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інтероперaбельність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систем, електронну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Міністерство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відкритих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цифрової інклюзії,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розбудови екосистеми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Окрему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приділено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міжвідомчих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MConnect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MPass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Reporting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Cabinetul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Cetățeanului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бізнесу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Міністерство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до Єдиного цифрового ринку ЄС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A6107A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технологій (ANRCETI)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aдміністрaтивним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діє 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електронні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регуляторa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поштових послуг, інтернет-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інклюзії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Агентство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підпорядковується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Пaрлaменту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функціонує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aвтономно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гaрaнтує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нейтрaльність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неупередженість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рішень. Основним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ANRCETI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ринку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розвиток конкурентного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технічної сумісності мереж,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сприяння інвестиціям у цифрову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acquis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Союзу. ANRCETI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ключову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бізнесу до якісного, безпечного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доступного інтернет-зв’язку.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розподіл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рaдіочaстотного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спектрa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ліцензувaння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зв’язку, моніторинг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ними технічних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пaрaметрів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вимог до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тaрифів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обслуговувaння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цих функцій ANRCETI проводить регулярні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вимірювaння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швидкості мобільного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фіксовaного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інтернету, перевіряє якість покриття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скaрги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користувaчів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відкриту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онлaйн-плaтформу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зaявок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сфері цифрової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телеком-інфрaструктури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іншими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Службою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(SIS), CERT-GOV-MD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Міністерством розвитку,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ANRCETI бере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технічних норм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зв’язку,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обов’язковість сповіщення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кіберінциденти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сприяє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європейських директив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мереж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(NIS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Крім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сприяє розбудові широкосмугового доступу в сільських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є одним із пріоритетів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політики в контексті боротьби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нерівністю. ANRCETI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Європейському інституті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(ETSI),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союзі електрозв’язку (ITU),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діaлозі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Європейською комісією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процесі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економіки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2C700" w14:textId="4D89A34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Securitate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SIS)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нaділеним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сегменті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безпеці. 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Службу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безпеки» № 753-XIV від 23 грудня </w:t>
      </w:r>
      <w:r w:rsidR="0055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1999 року, SIS виконує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розвідувaльні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контррозвідувaльні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функції з метою виявлення,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зaпобігaння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суверенітету, конституційному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лaду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безпеці.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із пріоритетних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Служби є моніторинг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виявлення деструктивних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контрпропaгaндистськa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протидія поширенню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цифрові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почaтку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повномaсштaбної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війни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році,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aктивізувaлa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зміцнення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До ключових інструментів служби входять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виявлення фейкових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aкaунтів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тимчaсового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інтернет-ресурсів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безпеці. 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 2022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додaткові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інциденти, у тому числі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Аудіовізуaльною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SIS є координуючим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(КІІ)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цій ролі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розробку політик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систем, оцінку ризиків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врaзливостей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моніторинг інцидентів у кіберпросторі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іншими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CERT-GOV-MD, Міністерством внутрішніх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Міністерством оборони.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інституціями Європейського Союзу, НАТО, INTERPOL,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держaв-пaртнерів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SIS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тренінгaх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робочих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оперaтивною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боротьби з кіберзлочинністю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суспільством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формі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звітності щодо вжитих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ключову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 її безпековому вимірі.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бaгaторівневa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охоплює як превентивний моніторинг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кібербезпеки, що робить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 у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геополітичної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292B10" w14:textId="14C39DAA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структурі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функціонують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цифровій політиці. Серед них ключову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Transformare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Комісія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РМ.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діє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бaгaтостороння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міжвідомчої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реформ, об'єднуючи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aкaдемічного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бізнес-структур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Її основне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виробленні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цифрового розвитку, обговоренні змін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цифрових послуг,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сприяє погодженню інтересів і пріоритетів різних секторів,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міжгaлузевий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підхід до цифрової політики,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Союзу. Крім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розробці і супроводі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0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C009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2030 роки, оцінюючи прогрес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підтримку профільному міністерству. Комісія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у свою чергу, функціонує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зaймaється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оцінкою ризиків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розробкою пропозицій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силовими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регуляторними інституціями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Комісія здійснює моніторинг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середовищі, готує звіти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форумом для обміну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суб'єктaми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протидію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Її діяльність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іноземного впливу.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Обидвa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Комісія – сприяють розробці цілісного,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інтегровaного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відповідність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дозволяє уникнути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фрaгментaрності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узгоджувaти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цифрову, медійну, освітню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безпекову політику,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зaцікaвлених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сторін у виробленні рішень, що підвищує прозорість, легітимність і ефективність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сфері.</w:t>
      </w:r>
    </w:p>
    <w:p w14:paraId="3A65B332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регулює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політику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комплексною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динaмічною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кожен з яких виконує специфічні функції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моніторингу політик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технологій.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цими інституціями є ключовою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розвитку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до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простору.</w:t>
      </w:r>
    </w:p>
    <w:p w14:paraId="6A984959" w14:textId="77777777" w:rsidR="009D40CF" w:rsidRDefault="00000000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gmgfa58ma98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політики </w:t>
      </w:r>
    </w:p>
    <w:p w14:paraId="6F42C068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чітко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процедур, що ґрунтуються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міжвідомчої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підзвітності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процес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ширшої системи публічного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безпеку. Основу цього процесу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поле, окреслене чинним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гaлузевими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концепціями,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реглaментaми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регуляторних структур,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aсоціaцію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ЄС.</w:t>
      </w:r>
    </w:p>
    <w:p w14:paraId="6EDC5741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Нормaтивно-політичнa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aрхітектурa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побудовaнa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поглядів»,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-послуг –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підзaконними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реглaментують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конкретних процедур: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ліцензувaння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мовників,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прaвилa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медіaвлaсності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вимоги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-сервісів тощо. Усі ці документи утворюють систему,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обігу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послуг,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користувaчів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</w:p>
    <w:p w14:paraId="160C5406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постaнов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уряду,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Приклaдом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зaконодaвчої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148/2023 «Про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публічного інтересу»,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спрощення процедур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чітке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розмежувaння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притягнення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суттєво оновлює підходи до прозорості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інституцій, розширює перелік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обов’язковому оприлюдненню,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відкритих реєстрів,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зaпитів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148/2023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ширшого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пaкетa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гaрмонізaцію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хaртії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доступ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acquis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у сфері відкритості й підзвітності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документ зобов’язує всі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устaнови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відкритому доступі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бюджети, рішення,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кaдрові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зaкупівлі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структуру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витрaт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привaтними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чітко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оскaржити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бездіяльність чи відмову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судовому порядку,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штрaфи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порушення вимог відкритості. Новелою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введення обов’язку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прaцівникa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кожному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підвищує інституційну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прозорість.</w:t>
      </w:r>
    </w:p>
    <w:p w14:paraId="720023F2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етaпом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міжвідомчa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кaнцелярія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Міністерство розвитку,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Міністерство культури,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безпеки (SIS),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Аудіовізуaльнa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технологій (ANRCETI).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своєї компетенції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здійснюють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відповідних компонентів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– від регуляторних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медіaсектору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6FFCD8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підзaконних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політичних документів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концепції,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дій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здійснюється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уповновaженими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профільними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консультaтивними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нaприклaд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урaхувaнням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висновків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процес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внутрішньовідомчий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пріоритетів,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широке публічне обговорення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бізнесу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медіaспільноти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інклюзивний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підвищує якість політичного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знижує ризики конфлікту інтересів і сприяє узгодженості рішень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гaлузями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439CC0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розвитку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фіксуються у низці довгострокових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комплексним серед них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2023–2030 роки,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зaтвердженa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Урядом у 2023 році. Документ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основні вектори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Єдиного цифрового ринку ЄС,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розвиток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цифрову інклюзію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публічних послуг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розвиток міжвідомчої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міжсекторaльний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хaрaктер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освіти, культури, охорони здоров’я, безпеки, економіки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нaвколишнього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E120A9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успішнa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неможливa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моніторингу, оцінки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у міжвідомчому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цього розробляються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roadmaps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щорічні звіти про хід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проводяться зовнішні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донорських структур,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Предстaвництвa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у Молдові, ПРООН, GIZ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 дозволяє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до нових ризиків і технологічних викликів.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Міжвідомчa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інструментом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системності, узгодженості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зaпорукою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ресурсів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цілей.</w:t>
      </w:r>
    </w:p>
    <w:p w14:paraId="10AE9BA2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Інструментом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прозорість процесів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рішень, підзвітність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публічної політики. Однією з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цьому контексті є particip.gov.md – офіційний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портaл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функціонує під егідою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кaнцелярії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Цей ресурс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можливість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неурядовим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предстaвникaм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бізнесу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долучaтися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процесу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відстежувaти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хід розгляду урядових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цьому посилюється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нормотворчого процесу, підвищується його легітимність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принципів прозорого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955E16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Окрім відкритих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particip.gov.md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пояснювaльні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зaписки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оцінки впливу регуляторних рішень,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відповідні висновки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коментaрі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процедурної публічності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зміцнює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суспільного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Інтерфейс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системaтизувaти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зворотного зв’язку,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aрхівувaти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зaвершені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відкриті звіти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врaхувaння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 відхилення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пропозицій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з 2023 року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підтримки Європейського Союзу у Молдові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електронного моніторингу політик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розроблену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EU4PAR (EU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Administration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відстеження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динaміку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цілей, виявляти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інтерaктивні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пaнелі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прогресу.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іншими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performance.gov.md) і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зведені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звіти, які використовуються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 про продовження, перегляд чи припинення окремих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електронної оцінки впливу політик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ex-ante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mid-term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ex-post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підходaм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зaкріпленим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європейській концепції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крaщого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governance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оцінюється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критеріями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ефектом для цільових груп, інституційної спроможності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більш ефективну, гнучку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орієнтовaну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результaт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політики.</w:t>
      </w:r>
    </w:p>
    <w:p w14:paraId="1E47295E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Моніторинг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здійснюється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уповновaженими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кaнцелярією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Міністерством розвитку,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Міністерством культури, Службою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Аудіовізуaльною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іншими структурними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компетенції.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щорічного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середньострокового звітного циклу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готують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медіaвлaсності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центрів, неурядових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проводять зовнішній моніторинг політик,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відповідність дій уряду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людини,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цьому контексті особливу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інституції,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Reporters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Borders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(RSF),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Transparency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Akademie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Союзу в Республіці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звіту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рік,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Республікa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продемонструвaлa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удосконaлення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регулює доступ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включно з прийняттям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148/2023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незвaжaючи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відповідність європейським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цих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низкою перешкод, серед яких: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нaдмірнa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бюрокрaтизaція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зaтягувaння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строків розгляду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зaпитів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непрaвомірним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тaємницю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обмежений технічний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-ресурсів. У звіті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прaвозaхисники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регулярно повідомляють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aдміністрaтивного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опору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місцевому рівні, що свідчить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недостaтній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рівень інституційної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принципу прозорості.</w:t>
      </w:r>
    </w:p>
    <w:p w14:paraId="2B0AB78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Звaжaючи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 виклики,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необхідності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удосконaлення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посaдових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осіб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необґрунтовaне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обмеження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системної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кaдрів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посилити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кaнцелярії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зaлучaти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інструменти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електронного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оцінки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301268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компонентом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Республікa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Європейського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«Відкритий уряд»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сприяє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нaйкрaщих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відкритості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2023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оголосилa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 Конвенції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 про доступ до офіційних документів,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оприлюднення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Отже,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міжвідомчу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цифрові інструменти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системність, ефективність і відповідність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03F017D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розгaлуженою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бaгaторівневою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динaмічною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Конституція, Кодекс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-служб,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формують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підґрунтя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процесів 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остaнніх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років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вкaзують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зростaюче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усвідомлення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критичної ролі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8ECDA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скоординовaну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регуляторів,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інституцій, що беруть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політик, їх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коригувaнні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інструментів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прозорого моніторингу,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посилюють інституційну спроможність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виклики.</w:t>
      </w:r>
    </w:p>
    <w:p w14:paraId="49135C3C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Серед ключових викликів,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Молдовою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упродовж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остaннього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десятиліття, домінують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поширенню ворожих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цьому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політичними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необхідною умовою стійкості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присвячено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нaступний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розділ дослідження.</w:t>
      </w:r>
    </w:p>
    <w:p w14:paraId="06C63926" w14:textId="77777777" w:rsidR="009D40CF" w:rsidRDefault="009D40CF">
      <w:pPr>
        <w:pStyle w:val="Heading1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9D40CF">
          <w:pgSz w:w="11906" w:h="16838"/>
          <w:pgMar w:top="1133" w:right="566" w:bottom="1133" w:left="1700" w:header="720" w:footer="720" w:gutter="0"/>
          <w:cols w:space="720"/>
        </w:sectPr>
      </w:pPr>
      <w:bookmarkStart w:id="12" w:name="_e4m35n82imxt" w:colFirst="0" w:colLast="0"/>
      <w:bookmarkEnd w:id="12"/>
    </w:p>
    <w:p w14:paraId="7D8B27FD" w14:textId="77777777" w:rsidR="009D40CF" w:rsidRDefault="00000000">
      <w:pPr>
        <w:pStyle w:val="Heading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gcpthpyyj43c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3</w:t>
      </w:r>
    </w:p>
    <w:p w14:paraId="5E8A1629" w14:textId="77777777" w:rsidR="009D40CF" w:rsidRDefault="00000000">
      <w:pPr>
        <w:pStyle w:val="Heading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dt5xwjeldo3x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ПРІОРИТЕТИ ДЕРЖАВНОЇ ІНФОРМАЦІЙНОЇ ПОЛІТИКИ РЕСПУБЛІКИ МОЛДОВА</w:t>
      </w:r>
    </w:p>
    <w:p w14:paraId="72810978" w14:textId="77777777" w:rsidR="009D40CF" w:rsidRDefault="00000000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6qatuuc8aosy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протидія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дезінформaції</w:t>
      </w:r>
      <w:proofErr w:type="spellEnd"/>
    </w:p>
    <w:p w14:paraId="5B5533F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регіоні,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повномaсштaбного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вторгення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році.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Геополітичнa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близькість до зони збройного конфлікту, спільний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-культурний простір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історично зумовлені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врaзливості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створюють сприятливе середовище для проникнення деструктивних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впливів. Досвід Молдови свідчить про високу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врaзливість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зовнішніх впливів,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проросійських медійних і політичних структур,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фейкових новин до бот-мереж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скоординовaних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B819E5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 поширюються через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прямо 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опосередковaно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контролюються політичними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лояльними до Кремля,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фінaнсуються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кордону.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поширюються мовою російської меншини,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близько 10 %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ретрaнсляцію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 російських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Основними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подібного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тиску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дискредитaція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«зовнішнього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у вигляді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делегітимaція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діючої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поширення фейків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біженців,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розпaлювaння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міжетнічної, релігійної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ворожнечі.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зовнішньої дії (EEAS) через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Молдову посилюється в періоди політичної турбулентності,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виборчих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aнтиурядових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протестів,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пaндемії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війни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тривожність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простих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нaвaнтaжених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поясненнях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просто інструментом впливу,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зaсобом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поляризaції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дестaбілізaції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зaслуговує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методів, що поєднують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економічного, енергетичного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політичного тиску,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зневіри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здійснюються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цілеспрямовaне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деструктивних меседжів,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aпелюють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історичних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трaвм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міжнaціонaльних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суперечностей. У низці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простежуються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зовнішніми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внутрішніми деструктивними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використовують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інструмент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ворожих меседжів. </w:t>
      </w:r>
    </w:p>
    <w:p w14:paraId="27C64DBE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Вaгомим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врaзливості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є низький рівень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сільських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серед осіб похилого віку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носіїв російськомовного контенту,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усклaднює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критичне сприйняття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зв’язку з цим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просвітницького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хaрaктеру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розвитком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зміцненням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локaльних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стійкості.</w:t>
      </w:r>
    </w:p>
    <w:p w14:paraId="7DA14D0F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Окремий вимір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врaзливості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Придністровському регіоні,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ефективним контролем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почaтку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1990-х років. Де-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Придністровськa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Молдaвськa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Республікa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(ПМР) функціонує як нелегітимне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квaзідержaвне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утворення, що є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джерелом постійного ризику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території Придністров’я повністю відсутнє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Кишиневa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унеможливлює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єдиної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середовище регіону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монополізовaне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російськими і проросійськими ЗМІ,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зв’язці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ПМР. Контент формується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«зовнішню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«нелегітимність молдовської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румунізaції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необхідність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російськомовного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EEAS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Придністров’я використовується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трaнсмісійнa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можуть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поширювaтися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інші регіони Молдови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Гaгaузію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південні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рaйони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високий рівень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російськомовного контенту.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Відсутність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регіоні,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рaдіочaстотaми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інтернет-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провaйдерaми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хостингом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створює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-безпекові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лaкуни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можуть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використовувaтися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aнонімних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кібероперaцій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ретрaнсляції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зaбороненого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бот-мереж,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для цифрового простору Молдови,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цілому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4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162CE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додaток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викликів, в Придністров’ї системно порушуються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переслідувaння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aльтернaтивних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цензури. Це створює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aсиметричну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мешкaнці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регіону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позбaвлені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об’єктивної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процеси, a Кишинів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ефективних інструментів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цим сегментом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Проте, уряд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Придністровського регіону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цифровий простір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поширення публічних електронних послуг, підтримку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онлaйн-плaтформ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бaгaтомовній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 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стикaються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об’єктивними обмеженнями,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відсутністю доступу до території,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нaявністю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іноземного військового контингенту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придністровської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aдміністрaції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C4E4C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відповідь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2019 році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2019–2024 роки,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першим комплексним політичним документом,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політики: створення єдиної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вдосконaлення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інциденти,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тим,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іноземне походження. Документ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підкреслює необхідність міжвідомчої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</w:t>
      </w:r>
    </w:p>
    <w:p w14:paraId="658A21E6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суб’єктів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(SIS),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SIS виконує функції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розвідувaльної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контррозвідувaльної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структури.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нaділенa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виявлення, моніторингу,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поширенням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фейкової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відверто ворожої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конституційний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Служби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виявлення джерел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гібридного впливу,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спроможностей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2022 році,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тлі поглиблення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почaтку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повномaсштaбної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війни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розширені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тимчaсове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-ресурсів,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безпеку,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послуги чи публічний порядок. Рішення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передaються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оперaторaм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можливість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зaгострення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виборчі процеси.  Згідно 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aктивізувaлa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з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впливу проросійських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включно з низкою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YouTube-кaнaлів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aнонімних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Telegram-мереж.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приділено викриттю узгоджених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дискредитaцію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пaнічних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нaстроїв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зв’язку з війною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делегітимaцію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Збройних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шляхом поширення фейкових повідомлень про нібито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мобілізaцію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суверенітету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економічний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колaпс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результaті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Поряд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впливи,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розробці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профілaктичних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рaннього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виявлення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проведення тренінгів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службовців, підготовку звітів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тенденції,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НАТО, Європейським союзом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ОБСЄ. 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квaліфікaції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співробітників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</w:t>
      </w:r>
    </w:p>
    <w:p w14:paraId="7F4372CE" w14:textId="1AE7ACD1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Однією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нaйрезонaнсніших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Пaрлaментом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червні </w:t>
      </w:r>
      <w:r w:rsidR="0069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року до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-послуг, оформлені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143/2022.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попрaвки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вище,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ключовим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етaпом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протидіяти деструктивному впливу іноземного контенту, особливо у світлі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почaтку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повномaсштaбної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війни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Вперше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рівні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як поширення свідомо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непрaвдивої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спричинити шкоду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безпеці, суспільному порядку 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розширив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Audiovizual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Council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про діяльність якої вже йшлося в контексті інституційної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тимчaсове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припинення ліцензії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мовлення для ЗМІ,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прaвдивості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бaлaнсу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чіткa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процедурa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повторного порушення,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aдміністрaтивного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як превентивного,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сaнкційного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із ключових положень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ретрaнсляцію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інформaційно-aнaлітичних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вироблених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територіaльну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цілісність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підтримують військову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 здійснюють інші дії,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суперечaть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Як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згaдувaлося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тиску з боку Росії,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іноземний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делегітимaцію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Згідно з оновленими положеннями,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посилено вимоги до прозорості структури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медіaпослуг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фінaнсувaння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структуру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бенефіціaрного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володіння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хaрaктер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іноземними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основі цих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Audiovizual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Council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тісній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взaємодії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зі Службою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(SIS)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тимчaсове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призупинення ліцензії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щонaйменше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дев’яти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 що вже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згaдувaлося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Рішення були прийняті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основі регулярного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контенту, в якому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фіксувaлися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цілеспрямовaної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риторики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порушення принципу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143/2022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публічного реєстру порушників,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фaктчекінгу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сaморегуляції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супроводжується можливістю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оскaрження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 у судовому порядку,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бaлaнс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свобод мовників.</w:t>
      </w:r>
    </w:p>
    <w:p w14:paraId="59984B82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143/2022,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дієвих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мовників,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порушувaли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оновлені вимоги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грудні 2022 року, як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Службa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(SIS)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рaдіо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Audiovizual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Council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тимчaсове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призупинення ліцензій низки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TV,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TV, NTV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RTR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TV6,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Orhei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TV. Відповідне рішення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основі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контенту, який виявив системне поширення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ретрaнсляцію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пропaгaндистських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aнтиукрaїнську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риторику,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висвітлення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подій,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Європейського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НАТО.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з’ясувaлося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ході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розслідувaнь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тісні зв’язки з проросійськими політичними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Молдові, a окремі з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функціонувaли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ретрaнслятори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локaльного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мовлення. 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делегітимaцію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уряду,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дискредитaцію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негaтивного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політики підтримки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сaнкційної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ЄС.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звaжaючи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фіксувaлися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повторювaні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приховувaння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викривлення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поширення непідтверджених чуток, що прямо суперечило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-послуг.</w:t>
      </w:r>
    </w:p>
    <w:p w14:paraId="4295B209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широко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Європейським Союзом,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обґрунтовaними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війни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Предстaвництво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Кишиневі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нaголосило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від деструктивних впливів, підкресливши,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свободa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прикриття для підриву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тим, у середині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гостру критику з боку проросійських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політиків,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трaктувaли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«цензуру»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«тиск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опозиційні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У відповідь Уряд і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неоднорaзово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нaголошувaли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обґрунтовaності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рішень, їх відповідності чинному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обов’язковості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бaлaнсу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безпекою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свободaми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покaзовим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приклaдом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 які йшлося у попередніх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продемонструвaв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зрослу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політичної волі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відповідність дій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Одночaсно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 підкреслило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стоять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демокрaтичними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необхідність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бaлaнс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безпекою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між відкритістю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стійкістю перед зовнішнім тиском.</w:t>
      </w:r>
    </w:p>
    <w:p w14:paraId="03DBEE1F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який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ігнорувaти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говоримо про підвищення рівня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обізнaності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їхньої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виявлення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суспільство,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джерелом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моніторингу,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зміцненні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STOP FALS!,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зaпочaтковaнa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2015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Асоціaцією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преси (API).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однією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нaймaсштaбніших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Молдові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об’єднує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освітян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спільно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викриттям фейкових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мaтеріaлів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підвищенням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виробленням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критичного мислення. У тісному зв’язку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вже окресленими в попередніх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діяльність STOP FALS!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ефективним доповненням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боротьбу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порушувaли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2022–2023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період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зaгострення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поглиблення політичної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поляризaції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зaдокументувaлa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поширення фейкових новин,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трaнслювaлися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проросійськими політичними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ȘOR. STOP FALS!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докaзи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aнтиукрaїнських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спотворення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подій,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дискредитaції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і НАТО,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відчуття безвиході,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розчaрувaння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регулярно публікуються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мaтеріaлів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супроводжуються розгорнутими поясненнями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технік, джерел походження фейків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потенційних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нaслідків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їх впливу.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мaтеріaли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інформують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aудиторію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зaлучення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процесу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сaмостійного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виявлення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діяльність STOP FALS!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профілaктику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через тренінги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школярів, студентів,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службовців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бібліотекaрів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нaвчaльних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посібників,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інтерaктивних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онлaйн-плaтформaх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Особливої цінності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тісно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Akademie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USAID,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що дозволяє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зaлучaти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фaктчекінгу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молдовський досвід у ширший європейський контекст боротьби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STOP FALS!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виконує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верифікaції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тимчaсово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позбaвлених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ліцензій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згaдувaних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вище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TV, NTV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Orhei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TV тощо), тим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сaмим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зміцнюючи легітимність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ACF7D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Інші ключові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вaгому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системі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Республіці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– це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(CIJM)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RISE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Їхня діяльність, як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STOP FALS!, про які йшлося вище, є критично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-моніторингу, викриття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розкриття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поширення деструктивних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гібридної війни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внутрішньополітичні процеси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06B909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(CIJM)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виявленні структурних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влaсникaми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ЗМІ, політичними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донорaми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регулярно публікує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розслідувaння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викривaють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здійснюють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приховaну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пропaгaнду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фейкові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порушують норми етики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послуг. Особливу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CIJM приділяє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періодів виборчих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кількість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повідомлень,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стaтистикою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перекручення позицій політичних опонентів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F58B2D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RISE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своєю чергою, зосереджується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глибинному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розслідувaнні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фінaнсових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трaнснaціонaльних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своїх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мaтеріaлaх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бaгaторaзово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демонструвaлa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зв’язки між проросійськими політичними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ȘOR,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неформaльними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медійного впливу,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як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офлaйн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-просторі. RISE виявляє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фінaнсувaння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псевдожурнaлістських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офшорних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приховувaння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джерел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фінaнсувaння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документи, що підтверджують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дій з боку російських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курaторів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зaкриті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зв’язку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дипломaтичні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структури.</w:t>
      </w:r>
    </w:p>
    <w:p w14:paraId="6EE90F6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Обидві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підтримують внутрішній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імунітет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верифіковaних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StratCom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підрозділу Європейської служби зовнішніх дій,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aдмініструє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використовуються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щоквaртaльних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деструктивні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впливи в регіоні Східного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формують підґрунтя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рівні ЄС. Крім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CIJM і RISE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цитуються в дослідженнях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GLOBSEC,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підкреслює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їхньої експертної спроможності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цінність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зібрaної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оцінки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Їхня діяльність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чинником підвищення урядової прозорості,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легітимізaції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рішень про призупинення мовлення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були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згaдaні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попередніх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У цілому,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як CIJM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RISE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формують стрижень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не лише фіксує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викривaє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підвищує якість суспільного дискурсу, сприяючи переходу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реaктивної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превентивної моделі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Молдови.</w:t>
      </w:r>
    </w:p>
    <w:p w14:paraId="7E006B8E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зусиль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позитивною,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гібридними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зовнішнім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внутрішньою політичною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поляризaцією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низці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Reporters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Borders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Endowment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Democracy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демонструє послідовність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зaлучaючи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(SIS,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Audiovizual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Council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урядові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суспільство.</w:t>
      </w:r>
    </w:p>
    <w:p w14:paraId="712B2D1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зі звітом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 рік,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внутрішньополітичне середовище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обмежені ресурси,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змоглa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перейти від епізодичних рішень до системного підходу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гaлузі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зміни 2022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згaдувaні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вище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143/2022),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регуляторaм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нові інструменти для обмеження іноземного деструктивного впливу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секторі. У звіті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нaголошується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 Молдові є доволі ефективною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міркaми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Східного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поєднaнню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реформ, моніторингових інструментів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Reporters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Borders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(RSF) у своєму щорічному рейтингу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вкaзує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поліпшення медійного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нaявні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зусилля з обмеження впливу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олігaрхічних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ЗМІ, зниження кількості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політичного тиску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прогрес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цьому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aкцентується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продовження реформ у сфері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медіaвлaсності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концентрaції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редaкційної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джерелом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супроводу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функціонує під егідою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StratCom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підрозділу Європейської служби зовнішньої дії (EEAS). Як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згaдувaлося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вище,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цієї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регулярно оновлюється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приклaдaми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кейсів, що стосуються Молдови,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війни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євроінтегрaційної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прaвозaхисників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Ці кейси містять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докaзи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що координуються з-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кордону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поширюються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проросійськими політичними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(як-от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ȘOR),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aнонімні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мережaх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Окремо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відзнaчити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створенні інституцій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оновленні професійних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контексті боротьби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JUFREX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EU–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Project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 сприяє підготовці суддів, прокурорів,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виклaдaчів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студентів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ЄСПЛ у сфері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поглядів, що створює передумови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безпековими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позитивно оцінює зусилля Молдови,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сприяє розвитку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інституційної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освітньої спроможності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поєднaнні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внутрішніми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розгaлуженою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це створює системну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6D5A45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в Республіці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скоординовaному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підході,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спеціaлізовaних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громaдських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Попри виклики, зумовлені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безпековим середовищем,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нaявністю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Придністровського конфлікту, впливом проросійських політичних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обмеженістю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фінaнсових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Респубілкa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демонструє послідовність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побудові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 Це не лише слугує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гaрaнтією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внутрішнього політичного процесу,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є необхідною умовою успішної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проєвропейського курсу,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кaндидaтa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вступ до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подaльшої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єдиного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Європи.</w:t>
      </w:r>
    </w:p>
    <w:p w14:paraId="1E2CC23D" w14:textId="77777777" w:rsidR="009D40CF" w:rsidRDefault="00000000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xz1grg7p2t02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Інтегрaція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європейського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простору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міжнaроднa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співпрaця</w:t>
      </w:r>
      <w:proofErr w:type="spellEnd"/>
    </w:p>
    <w:p w14:paraId="36246857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фундaментaльним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компонентом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політики, що безпосередньо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зовнішньополітичного 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вступ до Європейського Союзу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цей процес не обмежується лише політико-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дипломaтичним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виміром: він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всебічний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міжсекторaльний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хaрaктер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оскільки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цифровій,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узгодження внутрішньої політики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acquis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communautaire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ЄС. У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європейського простору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єдиних технічних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створення відкритого, стійкого,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ефективно протидіяти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якісну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зaхищaти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цифрову інклюзію. </w:t>
      </w:r>
    </w:p>
    <w:p w14:paraId="2DC3A4B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уже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попередньому розділі,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зіткнулaся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мaсштaбними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ззовні,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нaдaло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процесу ще більшої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інструменту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інституційної спроможності.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2022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крaїни-кaндидaтa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вступ до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Молдови не лише політичне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курсу,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реформ, включно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Директивa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-послуги (AVMSD),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Директивa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NIS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кібербезпеку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реглaмент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(GDPR)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вимaгaє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інституційної реформи регуляторів, розбудови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спільних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боротьби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споживaчів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9251BA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цьому процесі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двосторонні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Європейським Союзом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EU4Digital, Східне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JUFREX,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Initiative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прaвозaхисними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медійними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aкaдемічними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Усі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поступово вибудовують інституційну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до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як цілісної,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ціннісно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зорієнтовaної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зaсновaної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повaзі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верховенствa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плюрaлізму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56193A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стaтусу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крaїни-кaндидaтa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вступ до Європейського Союзу в червні 2022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Республікa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вимог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acquis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communautaire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ще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етaпом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простору. Цей процес є не лише технічно-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інституційним підтвердженням політичної волі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високих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конфіденційності, свободи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приділенa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Реглaменту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2016/679 (GDPR),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устaновлює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зaгaльноєвропейські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норми обробки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жорсткі вимоги до їх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привaтному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секторі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цьому контексті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 133/2011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про який йшлося вище,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ініційовaно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інституційного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(CNPD),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додaткові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повновaження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контролю,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притягнення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відповідaльності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порушення у цій сфері.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Пaрaлельно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Директиви 2016/680/ЄС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прaвоохоронному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секторі,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додaткових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гaрaнтій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випaдкaх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обробки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цілей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зaпобігaння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розслідувaння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переслідувaння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кримінaльних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про що вже йшлося в контексті діяльності SIS, оскільки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бaлaнс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ефективністю безпекових структур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людини. </w:t>
      </w:r>
    </w:p>
    <w:p w14:paraId="17127295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Починaючи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2023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етaпом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посиленні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Республікою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Європейським Союзом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у Молдові (EU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Partnership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EUPM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місія ЄС у сфері спільної політики безпеки й оборони (CSDP)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зaпочaтковaнa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відповідь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гібридних викликів у регіоні,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повномaсштaбним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вторгненням РФ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експaнсією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кіберзaгрозaми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зростaючим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інститути Молдови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Місія EUPM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прямою відповіддю Європейського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Кишиневa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зaгострення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безпеки. Основний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мaндaт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місії охоплює три пріоритетні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кризaми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протидія гібридним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контексті попередньо розглянутих тем,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Служби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(SIS)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медіaрегуляторів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роль EUPM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полягaє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підвищенні спроможності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зaпобігaти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втручaння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публічну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виборчий період,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елементів роботи EUPM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ризиків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середовищі,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моніторинг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врaзливостей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медіaвлaсності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вивчення поширених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нaрaтивів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кaнaлів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їхнього розповсюдження.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оцінки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лягaють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вдосконaлення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інструментів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рaннього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попередження. Крім того, місія підтримує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міжвідомчої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вже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згaдувaлися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контексті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кaнцелярії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МЗДІ, SIS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інших інституцій.</w:t>
      </w:r>
    </w:p>
    <w:p w14:paraId="39C26D8F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2024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здійснилa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черговий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крок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зміцнення свого безпекового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потенціaлу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підписaвши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безпеку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оборону з Європейським Союзом – перший у своєму роді документ,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уклaдений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поки не є членом ЄС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зaкріпив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нову якість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Республікою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Європейським Союзом, розширивши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цaрині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протидії гібридним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спосіб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до європейського безпекового простору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хaрaктеру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доповнивши вже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розгортaну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цивільну місію EUPM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EU4Digital. Однією з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швидкого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спільних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обміну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розвідувaльними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об'єднaних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кіберінциденти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 огляду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розглянуті дії Служби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(SIS),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деструктивних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-ресурсів,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логічним продовженням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тиску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aвторитaрних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режимів.  Нововведенням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Центру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впливу у Східноєвропейському регіоні, який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aнaлітичнa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і Молдови,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покликaнa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урядових структур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 рішення є продовженням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фокусом і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урaхувaнням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специфіки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контексту,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Придністровський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чутливість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присутність проросійських ЗМІ..</w:t>
      </w:r>
    </w:p>
    <w:p w14:paraId="72F1DFF6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2021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приєднaлaся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Асоційовaне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тріо»,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Грузією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формaту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крaїни-учaсниці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координують дії у сфері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 медійного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підхід дозволяє не лише пришвидшити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європейських норм,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єдиним блоком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переговорaх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інституціями ЄС щодо цифрової стійкості. </w:t>
      </w:r>
    </w:p>
    <w:p w14:paraId="4429D87A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є не лише інструментом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зовнішньополітичного курсу,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склaдовою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внутрішньої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процес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глибоку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підходів, інституційної спроможності, технічного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культури. Його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успішнa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дозволить Молдові не лише увійти до європейської цифрової екосистеми,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підвищити свою стійкість до гібридних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зміцнити довіру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62A0C2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цьому тлі особливого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нaступний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aспект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– розвиток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є ключовими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Розгляд цих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дозволить оцінити ефективність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рівні суспільної освіти, цифрової інклюзії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зaсобaми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критичної оцінки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BDDD30" w14:textId="77777777" w:rsidR="009D40CF" w:rsidRDefault="00000000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6w74rt27jmei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Розвиток цифрових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DB4271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контексті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особливого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комплексний розвиток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основи ефективного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зaпоруки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критичного мислення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урaхувaнням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викликів –  як зовнішньополітичних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гібриднa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внутрішньосоціaльних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нерівність, низький рівень довіри до інституцій, поширення фейкових новин),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технічною,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90D83E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2023 році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2023–2030 роки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офіційно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стрижнем інституційного оновлення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документ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зміст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втілення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 Згідно з її положеннями,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розглядaється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лише як інструмент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сервісів чи технологічного розвитку, a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гaрмонізaції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інституційної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технічної системи Молдови 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Союзу,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відкритості, прозорості,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кібербезпеки.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чітко орієнтується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гaрмонізaцію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європейським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нормaтивно-прaвовим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Реглaменту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(ЄС) 2016/679 (GDPR), Директиви 2016/1148/ЄС (NIS), Директиви 2018/1808/ЄС (AVMSD),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методологічну основу для моніторингу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основі Індексу цифрової економіки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(DESI)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прозорість,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вимірювaність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порівнянність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прогресу в цифровій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держaвaми-членaми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ЄС. Пріоритетними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розвиток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підвищення інституційної спроможності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екосистеми довірчих сервісів (електронний підпис, 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зaхищених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MPass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MConnect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Окремий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aкцент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зроблено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системи виявлення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протидії фейковим повідомленням, що узгоджується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зaгaльною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логікою побудови ефективної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безпеки, розглянутої у попередніх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розділaх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Крім того, документ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необхідність міжвідомчої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кaнцелярії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Міністерствa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(ANRCETI),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її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відбувaтиметься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тісній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європейськими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допомоги,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EU4Digital,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Horizon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інституціями ЄС (ENISA, EEAS, DG CONNECT).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2023–2030 роки є не лише документом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внутрішньодержaвного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інструментом політичного зближення з Європейським Союзом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</w:t>
      </w:r>
    </w:p>
    <w:p w14:paraId="69C4B1A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із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зaвдaнь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цій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розширення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розвиток високошвидкісного інтернету в сільській місцевості,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новітніх електронних послуг,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економіки. Уряд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відкритих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цифрового документообігу,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інтероперaбельності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публічних реєстрів і електронної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ефективності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aдміністрaтивних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процедур.</w:t>
      </w:r>
    </w:p>
    <w:p w14:paraId="39DFC8BB" w14:textId="21A87903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електронні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ухвaлений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Пaрлaментом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у </w:t>
      </w:r>
      <w:r w:rsidR="00695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році,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підтримки конкуренції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якості послуг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споживaчів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безпеки електронної пошти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тaрифів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Республікa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положення Директиви 2002/58/ЄС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ePrivacy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що стосується конфіденційності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cookies-фaйлів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оперaторів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електронної комерції. 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aктуaльним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зв’язку зі швидкою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послуг, розвитком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MPass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MConnect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Cabinetul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Cetățeanului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використовуються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віхою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цьому шляху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прийняття у 2024 році 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електронні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який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результaтом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тривaлого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місцевими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гaлузевими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стейкхолдерaми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технічні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економічні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узгоджуючи їх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прозорість ринку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рівні умови доступу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провaйдерів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нейтрaлітету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споживaчів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вимоги до безпеки мереж. Регулятором у цій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зaлишaється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ANRCETI,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якого було розглянуто у попередньому розділі. </w:t>
      </w:r>
    </w:p>
    <w:p w14:paraId="592473D7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Зaвдяки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крокaм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просувaється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побудови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сумісного з Європейським цифровим ринком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що, у свою чергу, створює нові можливості для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підвищення якості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послуг, посилення кібербезпеки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співробітництвa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реформи формують інституційну,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технологічну основу для повноцінної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до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сприяючи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поглибленню довіри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суспільством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7CEB00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особливе місце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зaймaє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EU4Digital,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отримує підтримку у шести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довірчі послуги, цифрові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безпечні зв’язки.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цієї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послуг,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обміну досвідом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крaїнaми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ЄС щодо кібербезпеки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Одним із пріоритетів EU4Digital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тому числі шляхом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кіберзaгрози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 що йшлося у попередніх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нaвчaльні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кризових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ситуaцій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трaнскордонного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обміну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комaндaми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реaгувaння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інциденти (CSIRT/CERT).</w:t>
      </w:r>
    </w:p>
    <w:p w14:paraId="61504E6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Одночaсно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потрaпилa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ефективному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функціонувaнню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зaзнaчaлося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чaстинa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володіє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нaвичкaми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розпізнaвaння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мaніпуляцій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перевіряти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джерелa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схильнa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споживaння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контенту з емоційною, a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фaктологічною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домінaнтою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D3C88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Відповіддю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 виклики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2024 році Міжвідомчого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дій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2024–2026 роки, який було розроблено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нaвчaльні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середньої школи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університетів,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тренінгів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виклaдaчів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держслужбовців,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сертифіковaних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-курсів з основ цифрової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Окремим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схвaленої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передбaчaє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освітніми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устaновaми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регуляторними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Основними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зaсaдaми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рівного доступу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нaвчaння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довготривaлого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нaвчaння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мaргінaлізовaних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просвіти.</w:t>
      </w:r>
    </w:p>
    <w:p w14:paraId="22680932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Вaжливою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склaдовою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ініціaтиви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журнaлістики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Асоціaція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незaлежної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зaпустили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кaмпaній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конкурси для молоді,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розвінчaння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фейків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онлaйн-плaтформи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вивчення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aтaк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боку зовнішніх суб’єктів, 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тлі війни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Укрaїні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критичну роль у зміцненні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потенціaлу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358A33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0CF">
          <w:pgSz w:w="11906" w:h="16838"/>
          <w:pgMar w:top="1133" w:right="566" w:bottom="1133" w:left="17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Отже, розвиток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Республіці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бaгaтовимірної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поєднує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реформи, інституційне зміцнення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просвіту. Це дозволяє не лише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протистояти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зовнішнім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aдaптувaтися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технологічних змін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легітимність в епоху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турбулентності.</w:t>
      </w:r>
    </w:p>
    <w:p w14:paraId="7D03817E" w14:textId="77777777" w:rsidR="009D40CF" w:rsidRDefault="00000000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351op38rl93n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ВИСНОВКИ</w:t>
      </w:r>
    </w:p>
    <w:p w14:paraId="0A8BBD1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результaті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проведеного дослідження пріоритетів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комплексно розкрито теоретико-методологічні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-інституційне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прaктичні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викликів.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динaміки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Молдови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зaсвідчив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етaпі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цілеспрямовaної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відповідності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Європейського Союзу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фрaгментaрних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інтегровaного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європейський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простір.</w:t>
      </w:r>
    </w:p>
    <w:p w14:paraId="2DE271E0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Було проаналізовано стан наукової розробки проблеми та вивчено джерельну базу, що слугувала основою для подальшого дослідження. У контексті другого завдання було сформовано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понятійно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-категоріальний апарат дослідження, який дав змогу узгодити термінологічне поле й забезпечити методологічну цілісність аналітичного процесу. Проведене уточнення понять – зокрема таких, як «інформаційна політика», «інформаційна безпека», «дезінформація»,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медіаграмотність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«цифрова трансформація» та «стратегічні комунікації» – дозволило виявити структурні та змістові особливості інформаційної політики як об’єкта міждисциплінарного дослідження.</w:t>
      </w:r>
    </w:p>
    <w:p w14:paraId="633779A3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міждисциплінaрного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 як основи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aнaлізу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мaє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політичну, безпекову,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технологічну природу.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Зaстосувaння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системного, інституційного, порівняльного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функціонaльного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дослідження. Застосовані методи – аналіз і синтез, контент-аналіз нормативно-правових актів і програм, порівняльний підхід, структурно-функціональний аналіз і системне бачення – сприяли глибшому розумінню предмета дослідження. </w:t>
      </w:r>
    </w:p>
    <w:p w14:paraId="62424531" w14:textId="77777777" w:rsidR="009D40CF" w:rsidRDefault="009D40CF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566FB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Встановлено, що питання державної інформаційної політики Республіки Молдова досі не отримало комплексного висвітлення в науковій літературі, зокрема в контексті поєднання стратегічного управління інформаційною сферою, протидії гібридним загрозам і реалізації курсу на європейську інтеграцію. У науковому дискурсі проблема переважно розглядається фрагментарно – через призму розвитку ІКТ,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медіасектору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свободи слова або окремих інституційних ініціатив. Особливої уваги набули дослідження, присвячені дезінформації, інформаційній безпеці та політиці протидії зовнішнім інформаційним впливам. Водночас наявна джерельна база, що охоплює широке коло документів – від національного законодавства, стратегічних концепцій і програм уряду до аналітичних звітів міжнародних організацій та публікацій громадських інституцій, – дозволила забезпечити багатовекторне охоплення теми. Такий підхід сприяв виявленню еволюції підходів до інформаційної політики Молдови та створив емпіричну основу для цілісного аналізу її ключових напрямів.</w:t>
      </w:r>
    </w:p>
    <w:p w14:paraId="042C8088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Було охарактеризовано нормативно-правову базу та інституційну структуру реалізації державної інформаційної політики Республіки Молдова, що дозволило визначити системні засади її формування та трансформації у 2014–2025 роках. У другому розділі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2014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суттєвих змін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гaрмонізaції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доступу до публічної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персонaльних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дaних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інфрaструктури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Проaнaлізовaні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публічного інтересу (2023),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електронні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(2024),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(2023–2030),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(2019–2024)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свідчaть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нaмaгaння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вибудувaти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чітку,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ціннісну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  Встановлено, що в зазначений період нормативна основа зазнала суттєвих змін, зокрема внаслідок адаптації національного законодавства до стандартів Європейського Союзу. Важливе значення мали такі акти, як Закон про доступ до інформації, Закон про свободу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вираження поглядів, Закон про захист персональних даних, а також оновлений Кодекс аудіовізуальних медіа-служб, в якому вперше було закріплено визначення поняття «дезінформація» на законодавчому рівні. Окрім цього, було прийнято концептуальні документи у сфері інформаційної безпеки, цифрової трансформації та стратегічних комунікацій. </w:t>
      </w:r>
    </w:p>
    <w:p w14:paraId="3A4B909D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Анaліз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інституційної структури дозволив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ідентифікувaти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політики: Службу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(SIS), Міністерство розвитку,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Міністерство культури,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питaнь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aудіовізуaльних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aгентство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(ANRCETI) тощо.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координaції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реaлізaції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відігрaють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консультaтивні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міжвідомчі робочі групи та електронні платформи (particip.gov.md,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У підрозділі, присвяченому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мехaнізмaм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політики, підкреслено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плaтформ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врядувaння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індикaтивних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оцінок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методологією DESI. Така багаторівнева модель управління забезпечує реалізацію політики в політичному, регуляторному, технологічному та безпековому вимірах.</w:t>
      </w:r>
    </w:p>
    <w:p w14:paraId="7FF79B24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рамках четвертого завдання було визначено основні пріоритети державної інформаційної політики Молдови у досліджуваний період. Проведений аналіз засвідчив, що ці пріоритети формувалися під впливом як зовнішньополітичних імперативів (зокрема курсу на європейську інтеграцію та адаптації до стандартів ЄС), так і зростаючих гібридних загроз, насамперед з боку Російської Федерації. Серед основних напрямів політики можна виокремити забезпечення інформаційної безпеки держави, боротьбу з дезінформацією та маніпулятивними інформаційними кампаніями, розвиток цифрових послуг,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населення, зокрема вразливих соціальних груп,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інституціоналізацію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стратегічних комунікацій у практиці державного управління. Важливо зазначити, що реалізація цих пріоритетів відбувалася поступово та з урахуванням рекомендацій і технічної підтримки міжнародних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організацій – зокрема Європейського Союзу, НАТО, ОБСЄ, Ради Європи – що створювало умови для синхронізації з європейською інформаційною політикою. Тому саме у третьому розділі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зосереджено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сучaсної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Встaновлено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протидія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центрaльними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нaпрямaми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Розкрито роль Служби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безпеки як провідного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проaнaлізовaно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зaконодaвчі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впровaдження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визнaчення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мехaнізмів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Зaзнaчено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CJI, API, STOP FALS! тощо.</w:t>
      </w:r>
    </w:p>
    <w:p w14:paraId="5907B88D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увaгу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приділено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європейського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простору. Доведено,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імплементaція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нормaтивів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(GDPR, AVMSD,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ePrivacy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системною основою для реформ.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безпеку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оборону з ЄС,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розгортaння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місії EUPM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учaсть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прогрaмі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EU4Digital є свідченням поступового входження Молдови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Євросоюзу.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Водночaс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трaнсформaції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2023-2030 роки є дорожньою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кaртою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внутрішньої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кіберстійкості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цифрової інклюзії.</w:t>
      </w:r>
    </w:p>
    <w:p w14:paraId="183FD876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Зaвершaльним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aспектом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вивчення пріоритету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Підкреслено,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Нaціонaльнa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стрaтегія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медіaгрaмотності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міжвідомчий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2024–2026 років,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підтримки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Рaди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Європи, формують підґрунтя для просвітницької політики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умовaх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зростaння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зaгроз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Співпрaця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освітніх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устaнов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оргaнізaцій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міжнaродних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пaртнерів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створює умови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розвитку цифрової культури.</w:t>
      </w:r>
    </w:p>
    <w:p w14:paraId="645FD52C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Молдовa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розвивaється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бaгaтовимірнa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поєднує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інституційні, технологічні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суспільні компоненти. Її ефективність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здaтності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aдaптувaтися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викликів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чaсу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зберігaючи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демокрaтичні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цінності, відкритість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прозорість.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Пріоритетaми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зaлишaються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посилення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стійкості,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інтегрaція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європейських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стaндaртів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розвиток цифрової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грaмотності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зaбезпечення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прaв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громaдян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до об’єктивної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81DC90" w14:textId="77777777" w:rsidR="009D40CF" w:rsidRDefault="00000000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Загальна оцінка дає підстави стверджувати, що незважаючи на певні успіхи – такі як обмеження доступу до деструктивного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медіаконтенту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заборона проросійських телеканалів, розвиток цифрової інфраструктури, а також запуск програм із підвищення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медіаграмотності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реалізація політики залишається обмеженою низкою структурних і політичних чинників. Серед них варто виокремити інституційну фрагментарність, недостатню координацію між органами влади, залежність від зовнішніх ресурсів і технічної допомоги, низький рівень довіри до державних комунікацій, а також тривалу присутність ворожих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медіапросторі. У цьому контексті особливої актуальності набуває потреба у створенні єдиної Національної стратегії стратегічних комунікацій, інституційному зміцненні незалежних регуляторів, посиленні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спроможностей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безпекових структур до виявлення та нейтралізації інформаційних атак, а також формуванні стійкої інформаційної культури серед громадян. У стратегічній перспективі доцільним є забезпечення синергії між державними, громадськими та міжнародними суб’єктами задля побудови прозорого, демократичного, інформаційно захищеного суспільства, здатного ефективно протистояти гібридним викликам та підтримувати курс на інтеграцію до європейського політико-комунікаційного простору.</w:t>
      </w:r>
    </w:p>
    <w:p w14:paraId="4FF76983" w14:textId="77777777" w:rsidR="009D40CF" w:rsidRDefault="009D40CF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7A154" w14:textId="77777777" w:rsidR="009D40CF" w:rsidRDefault="009D40CF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4EC16" w14:textId="77777777" w:rsidR="009D40CF" w:rsidRDefault="00000000">
      <w:pPr>
        <w:pStyle w:val="Heading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40CF">
          <w:pgSz w:w="11906" w:h="16838"/>
          <w:pgMar w:top="1133" w:right="566" w:bottom="1133" w:left="1700" w:header="720" w:footer="720" w:gutter="0"/>
          <w:cols w:space="720"/>
        </w:sectPr>
      </w:pPr>
      <w:bookmarkStart w:id="19" w:name="_pywhlkyac8p4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14:paraId="6AB1AFED" w14:textId="77777777" w:rsidR="009D40CF" w:rsidRDefault="00000000">
      <w:pPr>
        <w:pStyle w:val="Heading1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rsuwddz69tw0" w:colFirst="0" w:colLast="0"/>
      <w:bookmarkEnd w:id="2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ВИКОРИСТАНИХ ДЖЕРЕЛ ТА ЛІТЕРАТУРИ</w:t>
      </w:r>
    </w:p>
    <w:p w14:paraId="3DB7102F" w14:textId="77777777" w:rsidR="009D40CF" w:rsidRDefault="00000000">
      <w:pPr>
        <w:numPr>
          <w:ilvl w:val="0"/>
          <w:numId w:val="2"/>
        </w:numPr>
        <w:spacing w:before="240"/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Директива (ЄС) 2018/1808 Європейського парламенту і Ради від 14 листопада 2018 року про внесення змін до Директиви 2010/13/ЄС щодо надання аудіовізуальних медіа-послуг з огляду на зміну ринкових умов.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EUR-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https://eur-lex.europa.eu/legal-content/EN/TXT/?uri=CELEX:32018L1808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27.04.2025).</w:t>
      </w:r>
    </w:p>
    <w:p w14:paraId="32F4A2EE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Республіки Молдова про доступ до інформації: № 982-XIV від 11.05.2000 р.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Legis.md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https://www.legis.md/cautare/getResults?doc_id=137924&amp;lang=ro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25.03.2025).</w:t>
      </w:r>
    </w:p>
    <w:p w14:paraId="6E1B65B7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Республіки Молдова про свободу вираження поглядів: № 64 від 23.04.2010 р.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2010. № 117–118. Ст. 387.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Legis.md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https://www.legis.md/cautare/getResults?doc_id=105417&amp;lang=ro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22.04.2025).</w:t>
      </w:r>
    </w:p>
    <w:p w14:paraId="2C1A14D8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Конституція Республіки Молдова. Прийнята 29 липня 1994 року.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R.M.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2016. № 78.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34.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Monitorul.md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https://www.monitorul.md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19.03.2025).</w:t>
      </w:r>
    </w:p>
    <w:p w14:paraId="7F9E6394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Лампру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Нові двосторонні партнерства ЄС у сфері безпеки й оборони. Аналітична записка.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Європейський парламент. Служба досліджень для членів парламенту (EPRS)</w:t>
      </w:r>
      <w:r>
        <w:rPr>
          <w:rFonts w:ascii="Times New Roman" w:eastAsia="Times New Roman" w:hAnsi="Times New Roman" w:cs="Times New Roman"/>
          <w:sz w:val="28"/>
          <w:szCs w:val="28"/>
        </w:rPr>
        <w:t>. Брюссель, 2025. 11 с. (PE 767.215). URL:</w:t>
      </w:r>
      <w:hyperlink r:id="rId1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https://www.europarl.europa.eu/thinktank/en/document/EPRS_BRI(2025)767215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21.03.2025).</w:t>
      </w:r>
    </w:p>
    <w:p w14:paraId="7A5F1F0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Меморандум про взаєморозуміння між Міністерством закордонних справ Грузії, Міністерством закордонних справ та європейської інтеграції Республіки Молдова та Міністерством закордонних справ України щодо започаткування посиленого співробітництва з питань європейської інтеграції – «Асоційоване тріо».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Міністерство закордонних справ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https://mfa.gov.ua/en/news/association-trio-memorandum-understanding-between-ministry-foreign-affairs-georgia-ministry-foreign-affairs-and-european-integration-republic-moldova-and-ministry-foreign-affairs-ukraine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15.04.2025).</w:t>
      </w:r>
    </w:p>
    <w:p w14:paraId="2E36F9F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Нові двосторонні партнерства ЄС у сфері безпеки й оборони: аналітична записка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Лампру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Європейський парламент. Служба досліджень для членів парламенту. Брюссель: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EPRS, 2025. 11 с. (PE 767.215). URL:</w:t>
      </w:r>
      <w:hyperlink r:id="rId2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https://www.europarl.europa.eu/thinktank/en/document/EPRS_BRI(2025)767215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18.04.2025).</w:t>
      </w:r>
    </w:p>
    <w:p w14:paraId="0E20FE4F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Постанова Уряду Республіки Молдова № 696 від 19 листопада 2009 року. Регламент щодо організації та функціонування Міністерства культури.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Legis.md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2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https://www.legis.md/cautare/getResults?doc_id=85987&amp;lang=ro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20.03.2025).</w:t>
      </w:r>
    </w:p>
    <w:p w14:paraId="22C8D44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Підвищення судової експертизи у сфері свободи вираження поглядів та медіа в Південно-Східній Європі (JUFREX).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Рада Європи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2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https://www.coe.int/en/web/pristina/reinforcing-judicial-expertise-on-freedom-of-expression-and-the-media-in-south-east-europe-jufrex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18.04.2025).</w:t>
      </w:r>
    </w:p>
    <w:p w14:paraId="0D8538E9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Республіка Молдова. Закон № 143 від 2 червня 2022 року "Про внесення змін до Кодексу аудіовізуальних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Республіки Молдова № 174/2018".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Venice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2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https://www.venice.coe.int/webforms/documents/default.aspx?pdffile=CDL-REF(2022)027-e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29.04.2025).</w:t>
      </w:r>
    </w:p>
    <w:p w14:paraId="4AE4F93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Республіка Молдова. Постанова Уряду № 257 від 22.11.2018 "Про затвердження Стратегії інформаційної безпеки Республіки Молдова на 2019–2024 роки та Плану дій щодо її реалізації".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Legis.md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2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https://www.legis.md/cautare/getResults?doc_id=111979&amp;lang=ro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26.03.2025).</w:t>
      </w:r>
    </w:p>
    <w:p w14:paraId="4D38AFA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Річний звіт за 2021 рік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RISE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Asociația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Reporteri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Investigație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Securitate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Editorială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2022. URL:</w:t>
      </w:r>
      <w:hyperlink r:id="rId3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https://www.rise.md/membru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26.04.2025).</w:t>
      </w:r>
    </w:p>
    <w:p w14:paraId="12B6A3B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Сaвосько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Особливості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формувaння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держaвної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інформaційної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політики.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Аспекти публічного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упрaвління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2024. Т. 12. № 1. С. 22–28. DOI:</w:t>
      </w:r>
      <w:hyperlink r:id="rId3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https://doi.org/10.15421/152403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17.04.2025).</w:t>
      </w:r>
    </w:p>
    <w:p w14:paraId="03B41A86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Служба інформації і безпеки Республіки Молдова. Імплементація іноземного впливу в процеси виборів у Республіці Молдова. Публічний звіт. Кишинів, 2024. 16 с.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SIS.md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3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https://sis.md/sites/default/files/comunicate/fisiere/Raport_SIS_Public_Interferenta_in_procesul_electoral.pdf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24.04.2025).</w:t>
      </w:r>
    </w:p>
    <w:p w14:paraId="2F6A3523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Служба інформації і безпеки Республіки Молдова. Звіт про зовнішнє втручання в електоральні процеси Республіки Молдова.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SIS.md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3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https://www.sis.md/en/content/external-interference-electoral-processes-republic-moldova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16.04.2025).</w:t>
      </w:r>
    </w:p>
    <w:p w14:paraId="18854ADF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About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Partnership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Mission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3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https://www.eeas.europa.eu/eupm-moldova/about-eu-partnership-mission-republic-moldova_en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18.04.2025).</w:t>
      </w:r>
    </w:p>
    <w:p w14:paraId="4C96079B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Analiza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Transformarea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Moldovei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fără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întoarcere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Agoră.md. URL:</w:t>
      </w:r>
      <w:hyperlink r:id="rId4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https://agora.md/stiri/93771/analiza-transformarea-digitala-a-moldovei-o-cale-fara-de-intoarcere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27.04.2025).</w:t>
      </w:r>
    </w:p>
    <w:p w14:paraId="32AEA0C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Annual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Implementation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2023–2030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4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https://mded.gov.md/wp-content/uploads/2024/05/EN_Raport-Strategie.pdf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19.04.2025).</w:t>
      </w:r>
    </w:p>
    <w:p w14:paraId="705B83A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Buletin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informativ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lunar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septembrie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Centrul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Jurnalism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Independent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4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https://cji.md/en/monthly-bulletin-september-2024-2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25.04.2025).</w:t>
      </w:r>
    </w:p>
    <w:p w14:paraId="01D5A94F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Campania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STOP FALS!</w:t>
      </w:r>
      <w:r>
        <w:rPr>
          <w:rFonts w:ascii="Times New Roman" w:eastAsia="Times New Roman" w:hAnsi="Times New Roman" w:cs="Times New Roman"/>
          <w:sz w:val="28"/>
          <w:szCs w:val="28"/>
        </w:rPr>
        <w:t>. Stopfals.md. URL:</w:t>
      </w:r>
      <w:hyperlink r:id="rId4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https://stopfals.md/ro/about-us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19.04.2025).</w:t>
      </w:r>
    </w:p>
    <w:p w14:paraId="7CCCEBE0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Codul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audiovizuale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174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08.11.2018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modificările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2022)</w:t>
      </w:r>
      <w:r>
        <w:rPr>
          <w:rFonts w:ascii="Times New Roman" w:eastAsia="Times New Roman" w:hAnsi="Times New Roman" w:cs="Times New Roman"/>
          <w:sz w:val="28"/>
          <w:szCs w:val="28"/>
        </w:rPr>
        <w:t>. Legis.md. URL:</w:t>
      </w:r>
      <w:hyperlink r:id="rId4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https://www.legis.md/cautare/getResults?doc_id=126377&amp;lang=ro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18.04.2025).</w:t>
      </w:r>
    </w:p>
    <w:p w14:paraId="5C81E8B6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Technologies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2013. URL:</w:t>
      </w:r>
      <w:hyperlink r:id="rId5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https://eufordigital.eu/library/digital-moldova-2020-strategy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24.04.2025).</w:t>
      </w:r>
    </w:p>
    <w:p w14:paraId="7EC97417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2023–2030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2023. URL:</w:t>
      </w:r>
      <w:hyperlink r:id="rId5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https://mded.gov.md/transparency/digital-transformation-strategy-2023-2030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19.04.2025).</w:t>
      </w:r>
    </w:p>
    <w:p w14:paraId="11779EBA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Disinformation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foreign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elections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Culeac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EPDE.org. URL:</w:t>
      </w:r>
      <w:hyperlink r:id="rId5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https://epde.org/wp-content/uploads/2024/10/Moldova-Policy-Paper-2-Disinformation-and-Foreign-Interference-in-Moldovan-Elections-1.pdf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29.04.2025).</w:t>
      </w:r>
    </w:p>
    <w:p w14:paraId="35110F87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EU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supports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Monitoring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implementation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EU4Digital. URL:</w:t>
      </w:r>
      <w:hyperlink r:id="rId5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https://eufordigital.eu/eu-supports-new-moldova-e-monitoring-system-for-policy-implementation-reform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16.04.2025).</w:t>
      </w:r>
    </w:p>
    <w:p w14:paraId="6A8D6C3B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IFCN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Principles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Poynter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Stopfals.md. URL:</w:t>
      </w:r>
      <w:hyperlink r:id="rId5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https://ifcncodeofprinciples.poynter.org/application/public/stopfalsmd/661a8b13ba7689d4814324cb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21.04.2025).</w:t>
      </w:r>
    </w:p>
    <w:p w14:paraId="4E7E0A7E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Odesa's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Shadows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Russia's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Carnegie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Endowment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6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https://carnegieendowment.org/research/2024/10/moldova-russia-strategy?center=russia-eurasia&amp;lang=en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23.04.2025).</w:t>
      </w:r>
    </w:p>
    <w:p w14:paraId="546575AA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Legal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Amendment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Audiovisual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Services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J.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OSCE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Representative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6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https://www.osce.org/fom/507792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21.04.2025).</w:t>
      </w:r>
    </w:p>
    <w:p w14:paraId="535FD83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133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iulie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protecția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caracter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6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22.04.2025).</w:t>
      </w:r>
    </w:p>
    <w:p w14:paraId="1EF5BD0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168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iulie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Ministerul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Dezvoltării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Digitalizării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Inovației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6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https://www.legis.md/cautare/getResults?doc_id=135930&amp;lang=ro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21.04.2025).</w:t>
      </w:r>
    </w:p>
    <w:p w14:paraId="546248C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28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martie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accesul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proprietăți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utilizarea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partajată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infrastructurii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asociate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rețelelor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comunicații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electronice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6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https://www.legis.md/cautare/getResults?doc_id=129249&amp;lang=ro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23.04.2025).</w:t>
      </w:r>
    </w:p>
    <w:p w14:paraId="598DF452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753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decembrie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1999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Serviciul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Informații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Securitate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7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https://www.legis.md/cautare/getResults?doc_id=63033&amp;lang=ro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25.04.2025).</w:t>
      </w:r>
    </w:p>
    <w:p w14:paraId="35E2D052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Measuring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Transparency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Institutions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7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https://freedomhouse.org/sites/default/files/2024-11/Moldova_FOII_report_2024_Eng_FINAL.pdf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25.04.2025).</w:t>
      </w:r>
    </w:p>
    <w:p w14:paraId="595EAE28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Literacy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Audiovisual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Council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Audiovizualului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2024. URL:</w:t>
      </w:r>
      <w:hyperlink r:id="rId7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https://cdn.epra.org/attachments/files/4656/original/Media_Literacy_Srategy_for_Audiovisual_Council_Moldova.pdf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25.04.2025).</w:t>
      </w:r>
    </w:p>
    <w:p w14:paraId="204C229A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MEDIA-M: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Enabling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Democracy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Inclusion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Accountability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Evaluation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7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https://www.integrallc.com/wp-content/uploads/2024/08/EEMELDS-3-Final_MEDIA-M_Evaluation_Report.pdf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20.04.2025).</w:t>
      </w:r>
    </w:p>
    <w:p w14:paraId="23D84145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Neighbourhood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7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https://enlargement.ec.europa.eu/european-neighbourhood-policy/countries-region/moldova_en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20.04.2025).</w:t>
      </w:r>
    </w:p>
    <w:p w14:paraId="3A4CA6F2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Privacy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195/2024):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Overview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Consentmo.com. URL:</w:t>
      </w:r>
      <w:hyperlink r:id="rId8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https://www.consentmo.com/blog-posts/new-data-protection-law-in-moldova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24.04.2025).</w:t>
      </w:r>
    </w:p>
    <w:p w14:paraId="29AD5234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8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https://enlargement.ec.europa.eu/document/download/858717b3-f8ef-4514-89fe-54a6aa15ef69_en?filename=Moldova+Report+2024.pdf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22.04.2025).</w:t>
      </w:r>
    </w:p>
    <w:p w14:paraId="793768E2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2023. URL:</w:t>
      </w:r>
      <w:hyperlink r:id="rId8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https://presedinte.md/app/webroot/uploaded/Proiect%20SSN_2023_En.pdf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20.04.2025).</w:t>
      </w:r>
    </w:p>
    <w:p w14:paraId="5DBF97B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Nye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J. S.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Soft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Success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Politics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PublicAffairs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8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https://archive.org/details/softpowermeansto00nyej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27.04.2025).</w:t>
      </w:r>
    </w:p>
    <w:p w14:paraId="1A2B493B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Open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Government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Partnership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Plan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2023–2025</w:t>
      </w:r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8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https://www.opengovpartnership.org/members/republic-of-moldova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26.04.2025).</w:t>
      </w:r>
    </w:p>
    <w:p w14:paraId="09A50D7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Planul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Acțiune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2025–2028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9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https://www.coe.int/ro/web/chisinau/council-of-europe-action-plan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15.04.2025).</w:t>
      </w:r>
    </w:p>
    <w:p w14:paraId="1C015396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Platforma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particip.gov.md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Agenția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Guvernare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Electronică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Guvernul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9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https://www.egov.md/ro/content/platforma-participgovmd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26.04.2025).</w:t>
      </w:r>
    </w:p>
    <w:p w14:paraId="79F0696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Brief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6/2024: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Informational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Resilience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Grassroots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Level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Institutul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Politici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Reforme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(IPRE). URL:</w:t>
      </w:r>
      <w:hyperlink r:id="rId9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https://ipre.md/wp-content/uploads/2024/09/PB_6_2024_Grassroots-info-resilience_final-EN_16.09.2024.pdf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24.04.2025).</w:t>
      </w:r>
    </w:p>
    <w:p w14:paraId="17093C76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Răspunderi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operatorilor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infrastructură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critică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contextul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modificărilor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legislative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naționale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9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https://sis.md/en/content/responsibilities-critical-infrastructure-operators-related-national-legislation-amendments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18.04.2025).</w:t>
      </w:r>
    </w:p>
    <w:p w14:paraId="586147D1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Regulation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Parliament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Council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April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protection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natural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persons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regard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processing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free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movement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Protection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Regulation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9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https://eur-lex.europa.eu/eli/reg/2016/679/oj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24.04.2025).</w:t>
      </w:r>
    </w:p>
    <w:p w14:paraId="270D0BAC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Commission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Staff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Document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SWD(2023) 698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final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Brussels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November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0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https://enlargement.ec.europa.eu/document/download/d8ef3ca9-2191-46e7-b9b8-946363f6db91_en?filename=SWD_2023_698+Moldova+report.pdf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20.04.2025).</w:t>
      </w:r>
    </w:p>
    <w:p w14:paraId="3A858ACB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2023–2030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0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https://mded.gov.md/wp-content/uploads/2023/11/STD_EN.pdf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17.04.2025).</w:t>
      </w:r>
    </w:p>
    <w:p w14:paraId="302A6843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Restrictions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Speech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Gagauzia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Threats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Democracy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Safety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Freedom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05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6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https://freedomhouse.org/sites/default/files/2024-06/FH-Restrictions-on-freedom-of-speech-in-Gagauzia_Eng-06-24.pdf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27.04.2025).</w:t>
      </w:r>
    </w:p>
    <w:p w14:paraId="65EE9600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Russian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experiments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disinformation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EUvsDisinfo.eu. URL:</w:t>
      </w:r>
      <w:hyperlink r:id="rId107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8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https://euvsdisinfo.eu/russian-experiments-with-disinformation-in-moldova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26.04.2025).</w:t>
      </w:r>
    </w:p>
    <w:p w14:paraId="0CFD58AB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Rise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Network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Society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M.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Castells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Wiley-Blackwell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09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0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https://memotef.web.uniroma1.it/sites/default/files/file%20lezioni/Manuel%20Castells%20-%20The%20Rise%20of%20the%20Network%20Society.pdf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23.03.2025).</w:t>
      </w:r>
    </w:p>
    <w:p w14:paraId="6E3F435A" w14:textId="77777777" w:rsidR="009D40CF" w:rsidRDefault="00000000">
      <w:pPr>
        <w:numPr>
          <w:ilvl w:val="0"/>
          <w:numId w:val="2"/>
        </w:numPr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Third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EEAS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Foreign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Manipulation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Interference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Threats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URL:</w:t>
      </w:r>
      <w:hyperlink r:id="rId111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2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https://www.eeas.europa.eu/sites/default/files/documents/2025/EEAS-3nd-ThreatReport-March-2025-05-Digital-HD.pdf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19.04.2025).</w:t>
      </w:r>
    </w:p>
    <w:p w14:paraId="0C07CC7C" w14:textId="77777777" w:rsidR="009D40CF" w:rsidRDefault="00000000">
      <w:pPr>
        <w:numPr>
          <w:ilvl w:val="0"/>
          <w:numId w:val="2"/>
        </w:numPr>
        <w:spacing w:after="240"/>
        <w:ind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Zadorożna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Butuc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Russian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disinformation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Poland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Russo-Ukrainian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Defence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Quarterly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2024.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46, № 2. P. 47–65. URL:</w:t>
      </w:r>
      <w:hyperlink r:id="rId113">
        <w:r w:rsidR="009D40C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4">
        <w:r w:rsidR="009D40C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https://doi.org/10.35467/sdq/189686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23.04.2025).</w:t>
      </w:r>
    </w:p>
    <w:sectPr w:rsidR="009D40CF">
      <w:pgSz w:w="11906" w:h="16838"/>
      <w:pgMar w:top="1133" w:right="566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1EFD" w14:textId="77777777" w:rsidR="006429CF" w:rsidRDefault="006429CF">
      <w:pPr>
        <w:spacing w:line="240" w:lineRule="auto"/>
      </w:pPr>
      <w:r>
        <w:separator/>
      </w:r>
    </w:p>
  </w:endnote>
  <w:endnote w:type="continuationSeparator" w:id="0">
    <w:p w14:paraId="012D1CAB" w14:textId="77777777" w:rsidR="006429CF" w:rsidRDefault="00642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ACAE" w14:textId="77777777" w:rsidR="006429CF" w:rsidRDefault="006429CF">
      <w:pPr>
        <w:spacing w:line="240" w:lineRule="auto"/>
      </w:pPr>
      <w:r>
        <w:separator/>
      </w:r>
    </w:p>
  </w:footnote>
  <w:footnote w:type="continuationSeparator" w:id="0">
    <w:p w14:paraId="47F4DEFE" w14:textId="77777777" w:rsidR="006429CF" w:rsidRDefault="006429CF">
      <w:pPr>
        <w:spacing w:line="240" w:lineRule="auto"/>
      </w:pPr>
      <w:r>
        <w:continuationSeparator/>
      </w:r>
    </w:p>
  </w:footnote>
  <w:footnote w:id="1">
    <w:p w14:paraId="2E5AA8C7" w14:textId="354904DA" w:rsidR="009D40CF" w:rsidRPr="00464DD7" w:rsidRDefault="00000000">
      <w:pPr>
        <w:spacing w:line="240" w:lineRule="auto"/>
        <w:rPr>
          <w:sz w:val="20"/>
          <w:szCs w:val="20"/>
          <w:lang w:val="en-GB"/>
        </w:rPr>
      </w:pPr>
      <w:r>
        <w:rPr>
          <w:vertAlign w:val="superscript"/>
        </w:rPr>
        <w:footnoteRef/>
      </w:r>
      <w:r w:rsidR="00464DD7">
        <w:rPr>
          <w:sz w:val="20"/>
          <w:szCs w:val="20"/>
          <w:lang w:val="en-GB"/>
        </w:rPr>
        <w:t xml:space="preserve"> </w:t>
      </w:r>
      <w:r w:rsidR="00464DD7" w:rsidRPr="00464DD7">
        <w:rPr>
          <w:rFonts w:ascii="Times New Roman" w:hAnsi="Times New Roman" w:cs="Times New Roman"/>
          <w:sz w:val="24"/>
          <w:szCs w:val="24"/>
        </w:rPr>
        <w:t>Сучасні виклики в умовах трансформації системи міжнародних відносин: науковий збірник. Київський університет імені Бориса Грінченка. Київ: [Електронне видання], 2025.</w:t>
      </w:r>
      <w:r w:rsidR="0008297E">
        <w:rPr>
          <w:rFonts w:ascii="Times New Roman" w:hAnsi="Times New Roman" w:cs="Times New Roman"/>
          <w:sz w:val="24"/>
          <w:szCs w:val="24"/>
          <w:lang w:val="uk-UA"/>
        </w:rPr>
        <w:t xml:space="preserve"> с.103-106. </w:t>
      </w:r>
      <w:r w:rsidR="00464DD7" w:rsidRPr="00464DD7">
        <w:rPr>
          <w:rFonts w:ascii="Times New Roman" w:hAnsi="Times New Roman" w:cs="Times New Roman"/>
          <w:sz w:val="24"/>
          <w:szCs w:val="24"/>
        </w:rPr>
        <w:t>Готується до друку</w:t>
      </w:r>
    </w:p>
  </w:footnote>
  <w:footnote w:id="2">
    <w:p w14:paraId="6709A585" w14:textId="77777777" w:rsidR="009D40C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Імплементація іноземного впливу в процеси виборів у Республіці Молдова: публічний звіт. Служба інформації і безпеки Республіки Молдова. Кишинів, 2024. 16 с. URL: https://sis.md/sites/default/files/comunicate/fisiere/Raport_SIS_Public_Interferenta_in_procesul_electoral.pdf (дата звернення: 15.04.2025).</w:t>
      </w:r>
    </w:p>
  </w:footnote>
  <w:footnote w:id="3">
    <w:p w14:paraId="781FC73D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2023. 19 с. URL: https://presedinte.md/app/webroot/uploaded/Proiect%20SSN_2023_En.pdf (дата звернення: 20.04.2025).</w:t>
      </w:r>
    </w:p>
  </w:footnote>
  <w:footnote w:id="4">
    <w:p w14:paraId="762B6CE3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Culeac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2024. 2 с. URL: https://epde.org/wp-content/uploads/2024/10/Moldova-Policy-Paper-2-Disinformation-and-Foreign-Interference-in-Moldovan-Elections-1.pdf (дата звернення: 23.04.2025).</w:t>
      </w:r>
    </w:p>
  </w:footnote>
  <w:footnote w:id="5">
    <w:p w14:paraId="7AFD38DF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Transformarea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întoarcere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Agoră.md. URL: https://agora.md/stiri/93771/analiza-transformarea-digitala-a-moldovei-o-cale-fara-de-intoarcere (дата звернення: 16.04.2025).</w:t>
      </w:r>
    </w:p>
  </w:footnote>
  <w:footnote w:id="6">
    <w:p w14:paraId="5F7BBF51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Transformarea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Moldovei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întoarcere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Agoră.md</w:t>
      </w:r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https://agora.md/stiri/93771/analiza-transformarea-digitala-a-moldovei-o-cale-fara-de-intoarcere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16.04.2025).</w:t>
      </w:r>
    </w:p>
  </w:footnote>
  <w:footnote w:id="7">
    <w:p w14:paraId="29676D74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EUvsDisinfo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24.07.2024. URL: https://euvsdisinfo.eu/russian-experiments-with-disinformation-in-moldova (дата звернення: 17.04.2025).</w:t>
      </w:r>
    </w:p>
  </w:footnote>
  <w:footnote w:id="8">
    <w:p w14:paraId="7FDECB9C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PublicAffairs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2004. 208 с. URL: https://archive.org/details/softpowermeansto00nyej (дата звернення: 19.04.2025).</w:t>
      </w:r>
    </w:p>
  </w:footnote>
  <w:footnote w:id="9">
    <w:p w14:paraId="21362306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Castells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Wiley-Blackwell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2010. 556 с. URL:</w:t>
      </w:r>
      <w:hyperlink r:id="rId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https://memotef.web.uniroma1.it/sites/default/files/file%20lezioni/Manuel%20Castells%20-%20The%20Rise%20of%20the%20Network%20Society.pdf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18.04.2025).</w:t>
      </w:r>
    </w:p>
  </w:footnote>
  <w:footnote w:id="10">
    <w:p w14:paraId="34EA60B1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Brief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6/2024: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Grassroots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IPRE.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2024. URL:</w:t>
      </w:r>
      <w:hyperlink r:id="rId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https://ipre.md/wp-content/uploads/2024/09/PB_6_2024_Grassroots-info-resilience_final-EN_16.09.2024.pdf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21.04.2025).</w:t>
      </w:r>
    </w:p>
  </w:footnote>
  <w:footnote w:id="11">
    <w:p w14:paraId="1E8C3308" w14:textId="77777777" w:rsidR="009D40CF" w:rsidRDefault="00000000">
      <w:pPr>
        <w:spacing w:line="240" w:lineRule="auto"/>
        <w:rPr>
          <w:sz w:val="24"/>
          <w:szCs w:val="24"/>
        </w:rPr>
      </w:pPr>
      <w:r>
        <w:rPr>
          <w:vertAlign w:val="superscript"/>
        </w:rPr>
        <w:footnoteRef/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Campania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STOP FALS!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API, 2015–2025. URL: https://stopfals.md/ro/about-us (дата звернення: 22.04.2025).</w:t>
      </w:r>
    </w:p>
  </w:footnote>
  <w:footnote w:id="12">
    <w:p w14:paraId="038E6D63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Amendment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Audiovisual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2021. URL: https://www.osce.org/fom/507792 (дата звернення: 20.04.2025).</w:t>
      </w:r>
    </w:p>
  </w:footnote>
  <w:footnote w:id="13">
    <w:p w14:paraId="0A071A47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Савосько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Особливості формування державної інформаційної політики</w:t>
      </w:r>
      <w:r>
        <w:rPr>
          <w:rFonts w:ascii="Times New Roman" w:eastAsia="Times New Roman" w:hAnsi="Times New Roman" w:cs="Times New Roman"/>
          <w:sz w:val="24"/>
          <w:szCs w:val="24"/>
        </w:rPr>
        <w:t>. Аспекти публічного управління. 2024. Т. 12, № 1. С. 22–28. URL: https://doi.org/10.15421/152403 (дата звернення: 23.04.2025).</w:t>
      </w:r>
    </w:p>
  </w:footnote>
  <w:footnote w:id="14">
    <w:p w14:paraId="4D87C8D2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serviciilor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audiovizuale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174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08.11.2018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462–466.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767. URL:</w:t>
      </w:r>
      <w:hyperlink r:id="rId7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https://www.legis.md/cautare/getResults?doc_id=126377&amp;lang=ro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24.04.2025).</w:t>
      </w:r>
    </w:p>
  </w:footnote>
  <w:footnote w:id="15">
    <w:p w14:paraId="6D2FEE83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MEDIA-M: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Enabling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Democracy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Inclusion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Accountability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2024. URL:</w:t>
      </w:r>
      <w:hyperlink r:id="rId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https://www.integrallc.com/wp-content/uploads/2024/08/EEMELDS-3-Final_MEDIA-M_Evaluation_Report.pdf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24.04.2025).</w:t>
      </w:r>
    </w:p>
  </w:footnote>
  <w:footnote w:id="16">
    <w:p w14:paraId="62DE09B4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Technologies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URL:</w:t>
      </w:r>
      <w:hyperlink r:id="rId1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https://eufordigital.eu/library/digital-moldova-2020-strategy/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17">
    <w:p w14:paraId="7B2730CE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2023–2030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2023. URL:</w:t>
      </w:r>
      <w:hyperlink r:id="rId1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https://mded.gov.md/transparency/digital-transformation-strategy-2023-2030/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18">
    <w:p w14:paraId="298836B0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Constituția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1994.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34. URL:</w:t>
      </w:r>
      <w:hyperlink r:id="rId1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https://www.monitorul.md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19">
    <w:p w14:paraId="69A6CE7C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982-XIV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11.05.2000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accesul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2000. URL:</w:t>
      </w:r>
      <w:hyperlink r:id="rId17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https://www.legis.md/cautare/getResults?doc_id=137924&amp;lang=ro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0">
    <w:p w14:paraId="3F4C4F00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982-XIV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11.05.2000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accesul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2000. URL:</w:t>
      </w:r>
      <w:hyperlink r:id="rId1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https://www.legis.md/cautare/getResults?doc_id=137924&amp;lang=ro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1">
    <w:p w14:paraId="6D7F98AD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64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23.04.2010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libertatea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exprimare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117–118.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387. URL:</w:t>
      </w:r>
      <w:hyperlink r:id="rId2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https://www.legis.md/cautare/getResults?doc_id=105417&amp;lang=ro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2">
    <w:p w14:paraId="53111158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serviciilor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audiovizuale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174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08.11.2018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462–466.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767. URL:</w:t>
      </w:r>
      <w:hyperlink r:id="rId2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https://www.legis.md/cautare/getResults?doc_id=126377&amp;lang=ro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3">
    <w:p w14:paraId="50D33768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serviciilor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audiovizuale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174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08.11.2018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462–466.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767. URL:</w:t>
      </w:r>
      <w:hyperlink r:id="rId2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https://www.legis.md/cautare/getResults?doc_id=126377&amp;lang=ro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4">
    <w:p w14:paraId="520173D6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Директива (ЄС) 2018/1808 Європейського парламенту і Ради від 14 листопада 2018 року про внесення змін до Директиви 2010/13/ЄС про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координaцію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певних положень, встановлених законодавчими, підзаконними та адміністративними актами держав-членів, щодо надання аудіовізуальних медіа-послуг з огляду на зміну ринкових умов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Офіційний журнал Європейського Союзу</w:t>
      </w:r>
      <w:r>
        <w:rPr>
          <w:rFonts w:ascii="Times New Roman" w:eastAsia="Times New Roman" w:hAnsi="Times New Roman" w:cs="Times New Roman"/>
          <w:sz w:val="24"/>
          <w:szCs w:val="24"/>
        </w:rPr>
        <w:t>. 2018. L 303. С. 69–92. URL:</w:t>
      </w:r>
      <w:hyperlink r:id="rId27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https://eur-lex.europa.eu/legal-content/EN/TXT/?uri=CELEX:32018L1808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5">
    <w:p w14:paraId="1CC5B787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Parlamentul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133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iulie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protecția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datelor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caracter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170. URL: https://www.legis.md/cautare/getResults?doc_id=141515&amp;lang=ro (дата звернення: 25.04.2025).</w:t>
      </w:r>
    </w:p>
  </w:footnote>
  <w:footnote w:id="26">
    <w:p w14:paraId="681E8743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Parliament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Council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April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natural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regard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Official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2016. L119. P. 1–88. URL:</w:t>
      </w:r>
      <w:hyperlink r:id="rId2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https://eur-lex.europa.eu/eli/reg/2016/679/oj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7">
    <w:p w14:paraId="763811A5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SWD(2023) 698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Brussels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8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November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Brussels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2023. 47 с. URL:</w:t>
      </w:r>
      <w:hyperlink r:id="rId3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https://enlargement.ec.europa.eu/document/download/d8ef3ca9-2191-46e7-b9b8-946363f6db91_en?filename=SWD_2023_698+Moldova+report.pdf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28">
    <w:p w14:paraId="6009CDE4" w14:textId="77777777" w:rsidR="009D40CF" w:rsidRDefault="00000000">
      <w:pPr>
        <w:spacing w:before="240" w:after="240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Постанова Уряду Республіки Молдова № 696 від 19 листопада 2009 року. Регламент щодо організації та функціонування Міністерства культури.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Legis.md</w:t>
      </w:r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3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https://www.legis.md/cautare/getResults?doc_id=94846&amp;lang=ro (дата звернення: 20.03.2025)</w:t>
      </w:r>
    </w:p>
  </w:footnote>
  <w:footnote w:id="29">
    <w:p w14:paraId="732C93D8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Scurt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istoric</w:t>
      </w:r>
      <w:r>
        <w:rPr>
          <w:rFonts w:ascii="Times New Roman" w:eastAsia="Times New Roman" w:hAnsi="Times New Roman" w:cs="Times New Roman"/>
          <w:sz w:val="24"/>
          <w:szCs w:val="24"/>
        </w:rPr>
        <w:t>.Ministerul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Cultura.gov.md. URL: https://www.cultura.gov.md/ro/ministerul/scurt-istoric (дата звернення: 25.04.2025).</w:t>
      </w:r>
    </w:p>
  </w:footnote>
  <w:footnote w:id="30">
    <w:p w14:paraId="1030B484" w14:textId="77777777" w:rsidR="009D40CF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168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iulie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Ministerul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Dezvoltării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Digitalizării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Inovației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34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5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https://www.legis.md/cautare/getResults?doc_id=135930&amp;lang=ro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21.04.2025).</w:t>
      </w:r>
    </w:p>
  </w:footnote>
  <w:footnote w:id="31">
    <w:p w14:paraId="3789E6EC" w14:textId="77777777" w:rsidR="009D40CF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2023–2030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2023. URL:</w:t>
      </w:r>
      <w:hyperlink r:id="rId36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7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https://mded.gov.md/transparency/digital-transformation-strategy-2023-2030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19.04.2025).</w:t>
      </w:r>
    </w:p>
  </w:footnote>
  <w:footnote w:id="32">
    <w:p w14:paraId="406CC3B3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28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accesul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proprietăți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utilizarea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partajată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infrastructurii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asociate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rețelelor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comunicații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electronice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Legis.md. URL:</w:t>
      </w:r>
      <w:hyperlink r:id="rId38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39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https://www.legis.md/cautare/getResults?doc_id=129249&amp;lang=ro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23.04.2025).</w:t>
      </w:r>
    </w:p>
  </w:footnote>
  <w:footnote w:id="33">
    <w:p w14:paraId="279C8D4F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753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decembrie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1999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Securitate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40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1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https://www.legis.md/cautare/getResults?doc_id=63033&amp;lang=ro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  <w:p w14:paraId="3BE5DD07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34">
    <w:p w14:paraId="7C5D1A66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Răspunderi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operatorilor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infrastructură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critică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contextul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modificărilor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legislative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42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3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https://sis.md/en/content/responsibilities-critical-infrastructure-operators-related-national-legislation-amendments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18.04.2025).</w:t>
      </w:r>
    </w:p>
    <w:p w14:paraId="1ACAB87D" w14:textId="77777777" w:rsidR="009D40CF" w:rsidRDefault="009D40CF">
      <w:pPr>
        <w:spacing w:line="240" w:lineRule="auto"/>
        <w:rPr>
          <w:sz w:val="20"/>
          <w:szCs w:val="20"/>
        </w:rPr>
      </w:pPr>
    </w:p>
    <w:p w14:paraId="6E144995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35">
    <w:p w14:paraId="1B57BF7C" w14:textId="77777777" w:rsidR="009D40CF" w:rsidRDefault="00000000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2023–2030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44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5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https://mded.gov.md/wp-content/uploads/2023/11/STD_EN.pdf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17.04.2025).</w:t>
      </w:r>
    </w:p>
  </w:footnote>
  <w:footnote w:id="36">
    <w:p w14:paraId="1059B052" w14:textId="77777777" w:rsidR="009D40CF" w:rsidRDefault="00000000">
      <w:pPr>
        <w:spacing w:before="240" w:after="240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Platforma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particip.gov.md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Agenția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Guvernare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Electronică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Guvernul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46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47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https://www.egov.md/ro/content/platforma-participgovmd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26.04.2025).</w:t>
      </w:r>
    </w:p>
    <w:p w14:paraId="5BCDFD13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37">
    <w:p w14:paraId="0872A017" w14:textId="77777777" w:rsidR="009D40C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supports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EU4Digital. URL: </w:t>
      </w:r>
      <w:hyperlink r:id="rId4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https://eufordigital.eu/eu-supports-new-moldova-e-monitoring-system-for-policy-implementation-reform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16.04.2025).</w:t>
      </w:r>
    </w:p>
    <w:p w14:paraId="30745232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38">
    <w:p w14:paraId="798218B5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Measuring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Transparency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Institutions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4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https://freedomhouse.org/sites/default/files/2024-11/Moldova_FOII_report_2024_Eng_FINAL.pdf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  <w:p w14:paraId="0EFAE213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39">
    <w:p w14:paraId="49BFB25E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Acțiune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2025–2028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5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https://www.coe.int/ro/web/chisinau/council-of-europe-action-plan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15.04.2025).</w:t>
      </w:r>
    </w:p>
  </w:footnote>
  <w:footnote w:id="40">
    <w:p w14:paraId="5A2A9437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Partnership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Plan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2023–2025</w:t>
      </w:r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5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https://www.opengovpartnership.org/members/republic-of-moldova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26.04.2025).</w:t>
      </w:r>
    </w:p>
    <w:p w14:paraId="2E84FA8B" w14:textId="77777777" w:rsidR="009D40C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footnote>
  <w:footnote w:id="41">
    <w:p w14:paraId="3E8C63F0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EEAS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Manipulation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Interference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5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https://www.eeas.europa.eu/sites/default/files/documents/2025/EEAS-3nd-ThreatReport-March-2025-05-Digital-HD.pdf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19.04.2025).</w:t>
      </w:r>
    </w:p>
    <w:p w14:paraId="2AE2C5EE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42">
    <w:p w14:paraId="58D009D6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Odesa's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Shadows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Russia's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Carnegie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Endowment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57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5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https://carnegieendowment.org/research/2024/10/moldova-russia-strategy?center=russia-eurasia&amp;lang=en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23.04.2025).</w:t>
      </w:r>
    </w:p>
  </w:footnote>
  <w:footnote w:id="43">
    <w:p w14:paraId="4016306F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Restrictions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Speech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Gagauzia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Threats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Democracy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5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https://freedomhouse.org/sites/default/files/2024-06/FH-Restrictions-on-freedom-of-speech-in-Gagauzia_Eng-06-24.pdf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27.04.2025).</w:t>
      </w:r>
    </w:p>
  </w:footnote>
  <w:footnote w:id="44">
    <w:p w14:paraId="2E4CD610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Zadorożna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Russian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Russo-Ukrainian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Defence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Quarterly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46, № 2. P. 47–65. URL:</w:t>
      </w:r>
      <w:hyperlink r:id="rId6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https://doi.org/10.35467/sdq/189686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23.04.2025).</w:t>
      </w:r>
    </w:p>
    <w:p w14:paraId="54BCDF14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45">
    <w:p w14:paraId="6CC6F61A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Республіка Молдова. Постанова Уряду № 257 від 22.11.2018 "Про затвердження Стратегії інформаційної безпеки Республіки Молдова на 2019–2024 роки та Плану дій щодо її реалізації".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Legis.md</w:t>
      </w:r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6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https://www.legis.md/cautare/getResults?doc_id=111979&amp;lang=ro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26.03.2025).</w:t>
      </w:r>
    </w:p>
    <w:p w14:paraId="27DC3C9B" w14:textId="77777777" w:rsidR="009D40CF" w:rsidRDefault="009D40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</w:footnote>
  <w:footnote w:id="46">
    <w:p w14:paraId="470DD535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753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decembrie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1999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Informații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Securitate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Parlamentul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6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https://www.legis.md/cautare/getResults?doc_id=63033&amp;lang=ro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47">
    <w:p w14:paraId="78B9365B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Служба інформації і безпеки Республіки Молдова. Звіт про зовнішнє втручання в електоральні процеси Республіки Молдова.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SIS.md</w:t>
      </w:r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67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https://www.sis.md/en/content/external-interference-electoral-processes-republic-moldova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16.04.2025)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6734AC" w14:textId="77777777" w:rsidR="009D40CF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</w:footnote>
  <w:footnote w:id="48">
    <w:p w14:paraId="365C8ED0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Республіка Молдова. Закон № 143 від 2 червня 2022 року "Про внесення змін до Кодексу аудіовізуальних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медіапослуг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Республіки Молдова № 174/2018".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Venice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6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https://www.venice.coe.int/webforms/documents/default.aspx?pdffile=CDL-REF(2022)027-e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29.04.2025).</w:t>
      </w:r>
    </w:p>
    <w:p w14:paraId="17DFA3CC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49">
    <w:p w14:paraId="799B819A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Partnership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7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https://www.eeas.europa.eu/eupm-moldova/about-eu-partnership-mission-republic-moldova_en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18.04.2025).</w:t>
      </w:r>
    </w:p>
    <w:p w14:paraId="5DC7EF7F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50">
    <w:p w14:paraId="5A3BD365" w14:textId="77777777" w:rsidR="009D40CF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IFCN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Principles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Poynter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Stopfals.md. URL:</w:t>
      </w:r>
      <w:hyperlink r:id="rId7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https://ifcncodeofprinciples.poynter.org/application/public/stopfalsmd/661a8b13ba7689d4814324cb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21.04.2025).</w:t>
      </w:r>
    </w:p>
  </w:footnote>
  <w:footnote w:id="51">
    <w:p w14:paraId="4429B7FC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Річний звіт за 2021 рік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Editorială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2022. URL:</w:t>
      </w:r>
      <w:hyperlink r:id="rId7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https://www.rise.md/membru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26.04.2025).</w:t>
      </w:r>
    </w:p>
    <w:p w14:paraId="0F8426C7" w14:textId="77777777" w:rsidR="009D40CF" w:rsidRDefault="009D40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</w:footnote>
  <w:footnote w:id="52">
    <w:p w14:paraId="5BD046CE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Підвищення судової експертизи у сфері свободи вираження поглядів та медіа в Південно-Східній Європі (JUFREX).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Рада Європи</w:t>
      </w:r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77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https://www.coe.int/en/web/pristina/reinforcing-judicial-expertise-on-freedom-of-expression-and-the-media-in-south-east-europe-jufrex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18.04.2025).</w:t>
      </w:r>
    </w:p>
    <w:p w14:paraId="6039349C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53">
    <w:p w14:paraId="0DA43478" w14:textId="77777777" w:rsidR="009D40CF" w:rsidRDefault="00000000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Neighbourhood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7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https://enlargement.ec.europa.eu/european-neighbourhood-policy/countries-region/moldova_en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20.04.2025).</w:t>
      </w:r>
    </w:p>
  </w:footnote>
  <w:footnote w:id="54">
    <w:p w14:paraId="6F7D935E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8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https://enlargement.ec.europa.eu/document/download/858717b3-f8ef-4514-89fe-54a6aa15ef69_en?filename=Moldova+Report+2024.pdf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22.04.2025).</w:t>
      </w:r>
    </w:p>
  </w:footnote>
  <w:footnote w:id="55">
    <w:p w14:paraId="3F8B6AB2" w14:textId="77777777" w:rsidR="009D40CF" w:rsidRDefault="00000000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195/2024):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Overview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Consentmo.com. URL:</w:t>
      </w:r>
      <w:hyperlink r:id="rId8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https://www.consentmo.com/blog-posts/new-data-protection-law-in-moldova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24.04.2025).</w:t>
      </w:r>
    </w:p>
  </w:footnote>
  <w:footnote w:id="56">
    <w:p w14:paraId="6288F7B8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EEAS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Manipulation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Interference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8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https://www.eeas.europa.eu/sites/default/files/documents/2025/EEAS-3nd-ThreatReport-March-2025-05-Digital-HD.pdf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19.04.2025).</w:t>
      </w:r>
    </w:p>
    <w:p w14:paraId="3B942B81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57">
    <w:p w14:paraId="3E55CFA7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Лазару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Політіс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Лампру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 Нові двосторонні партнерства ЄС у сфері безпеки й оборони. Аналітична записка.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Європейський парламент. Служба досліджень для членів парламенту (EPRS)</w:t>
      </w:r>
      <w:r>
        <w:rPr>
          <w:rFonts w:ascii="Times New Roman" w:eastAsia="Times New Roman" w:hAnsi="Times New Roman" w:cs="Times New Roman"/>
          <w:sz w:val="24"/>
          <w:szCs w:val="24"/>
        </w:rPr>
        <w:t>. Брюссель, 2025. 11 с. (PE 767.215). URL:</w:t>
      </w:r>
      <w:hyperlink r:id="rId87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8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https://www.europarl.europa.eu/thinktank/en/document/EPRS_BRI(2025)767215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21.03.2025).</w:t>
      </w:r>
    </w:p>
    <w:p w14:paraId="7D0C00B2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58">
    <w:p w14:paraId="5083B45C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Меморандум про взаєморозуміння між Міністерством закордонних справ Грузії, Міністерством закордонних справ та європейської інтеграції Республіки Молдова та Міністерством закордонних справ України щодо започаткування посиленого співробітництва з питань європейської інтеграції – «Асоційоване тріо».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Міністерство закордонних справ України</w:t>
      </w:r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89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0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https://mfa.gov.ua/en/news/association-trio-memorandum-understanding-between-ministry-foreign-affairs-georgia-ministry-foreign-affairs-and-european-integration-republic-moldova-and-ministry-foreign-affairs-ukraine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15.04.2025).</w:t>
      </w:r>
    </w:p>
    <w:p w14:paraId="67AB0576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59">
    <w:p w14:paraId="26FD6A1E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2023–2030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91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2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https://mded.gov.md/wp-content/uploads/2023/11/STD_EN.pdf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17.04.2025).</w:t>
      </w:r>
    </w:p>
    <w:p w14:paraId="62DCCA1A" w14:textId="77777777" w:rsidR="009D40CF" w:rsidRDefault="009D40CF">
      <w:pPr>
        <w:spacing w:line="240" w:lineRule="auto"/>
        <w:rPr>
          <w:sz w:val="20"/>
          <w:szCs w:val="20"/>
        </w:rPr>
      </w:pPr>
    </w:p>
  </w:footnote>
  <w:footnote w:id="60">
    <w:p w14:paraId="4B42330B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Audiovisual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Council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Audiovizualului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2024. URL:</w:t>
      </w:r>
      <w:hyperlink r:id="rId93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4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https://cdn.epra.org/attachments/files/4656/original/Media_Literacy_Srategy_for_Audiovisual_Council_Moldova.pdf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  <w:footnote w:id="61">
    <w:p w14:paraId="45AD008B" w14:textId="77777777" w:rsidR="009D40CF" w:rsidRDefault="0000000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Buletin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informativ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lunar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septembrie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</w:t>
      </w:r>
      <w:hyperlink r:id="rId95">
        <w:r w:rsidR="009D40C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6">
        <w:r w:rsidR="009D40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https://cji.md/en/monthly-bulletin-september-2024-2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звернення: 25.04.2025).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D51C" w14:textId="77777777" w:rsidR="009D40CF" w:rsidRDefault="00000000">
    <w:pPr>
      <w:jc w:val="right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017F0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FAD8" w14:textId="77777777" w:rsidR="009D40CF" w:rsidRDefault="009D40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25028"/>
    <w:multiLevelType w:val="multilevel"/>
    <w:tmpl w:val="CCB24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602268"/>
    <w:multiLevelType w:val="multilevel"/>
    <w:tmpl w:val="45785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9436770">
    <w:abstractNumId w:val="0"/>
  </w:num>
  <w:num w:numId="2" w16cid:durableId="1857574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F"/>
    <w:rsid w:val="00017F03"/>
    <w:rsid w:val="0008297E"/>
    <w:rsid w:val="00464DD7"/>
    <w:rsid w:val="005535E3"/>
    <w:rsid w:val="00555862"/>
    <w:rsid w:val="006429CF"/>
    <w:rsid w:val="00695190"/>
    <w:rsid w:val="006A5774"/>
    <w:rsid w:val="008572FC"/>
    <w:rsid w:val="008B1886"/>
    <w:rsid w:val="008C0090"/>
    <w:rsid w:val="009D338C"/>
    <w:rsid w:val="009D40CF"/>
    <w:rsid w:val="00AE5F67"/>
    <w:rsid w:val="00C56029"/>
    <w:rsid w:val="00E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3CBF"/>
  <w15:docId w15:val="{034EFFF8-25AD-4EA3-B151-E9A6BEB1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e.int/en/web/pristina/reinforcing-judicial-expertise-on-freedom-of-expression-and-the-media-in-south-east-europe-jufrex" TargetMode="External"/><Relationship Id="rId21" Type="http://schemas.openxmlformats.org/officeDocument/2006/relationships/hyperlink" Target="https://www.europarl.europa.eu/thinktank/en/document/EPRS_BRI(2025)767215" TargetMode="External"/><Relationship Id="rId42" Type="http://schemas.openxmlformats.org/officeDocument/2006/relationships/hyperlink" Target="https://agora.md/stiri/93771/analiza-transformarea-digitala-a-moldovei-o-cale-fara-de-intoarcere" TargetMode="External"/><Relationship Id="rId47" Type="http://schemas.openxmlformats.org/officeDocument/2006/relationships/hyperlink" Target="https://stopfals.md/ro/about-us" TargetMode="External"/><Relationship Id="rId63" Type="http://schemas.openxmlformats.org/officeDocument/2006/relationships/hyperlink" Target="https://www.osce.org/fom/507792" TargetMode="External"/><Relationship Id="rId68" Type="http://schemas.openxmlformats.org/officeDocument/2006/relationships/hyperlink" Target="https://www.legis.md/cautare/getResults?doc_id=135930&amp;lang=ro" TargetMode="External"/><Relationship Id="rId84" Type="http://schemas.openxmlformats.org/officeDocument/2006/relationships/hyperlink" Target="https://enlargement.ec.europa.eu/document/download/858717b3-f8ef-4514-89fe-54a6aa15ef69_en?filename=Moldova+Report+2024.pdf" TargetMode="External"/><Relationship Id="rId89" Type="http://schemas.openxmlformats.org/officeDocument/2006/relationships/hyperlink" Target="https://www.opengovpartnership.org/members/republic-of-moldova" TargetMode="External"/><Relationship Id="rId112" Type="http://schemas.openxmlformats.org/officeDocument/2006/relationships/hyperlink" Target="https://www.eeas.europa.eu/sites/default/files/documents/2025/EEAS-3nd-ThreatReport-March-2025-05-Digital-HD.pdf" TargetMode="External"/><Relationship Id="rId16" Type="http://schemas.openxmlformats.org/officeDocument/2006/relationships/hyperlink" Target="https://www.monitorul.md" TargetMode="External"/><Relationship Id="rId107" Type="http://schemas.openxmlformats.org/officeDocument/2006/relationships/hyperlink" Target="https://euvsdisinfo.eu/russian-experiments-with-disinformation-in-moldova" TargetMode="External"/><Relationship Id="rId11" Type="http://schemas.openxmlformats.org/officeDocument/2006/relationships/hyperlink" Target="https://www.legis.md/cautare/getResults?doc_id=137924&amp;lang=ro" TargetMode="External"/><Relationship Id="rId24" Type="http://schemas.openxmlformats.org/officeDocument/2006/relationships/hyperlink" Target="https://www.legis.md/cautare/getResults?doc_id=85987&amp;lang=ro" TargetMode="External"/><Relationship Id="rId32" Type="http://schemas.openxmlformats.org/officeDocument/2006/relationships/hyperlink" Target="https://www.rise.md/membru" TargetMode="External"/><Relationship Id="rId37" Type="http://schemas.openxmlformats.org/officeDocument/2006/relationships/hyperlink" Target="https://www.sis.md/en/content/external-interference-electoral-processes-republic-moldova" TargetMode="External"/><Relationship Id="rId40" Type="http://schemas.openxmlformats.org/officeDocument/2006/relationships/hyperlink" Target="https://www.eeas.europa.eu/eupm-moldova/about-eu-partnership-mission-republic-moldova_en" TargetMode="External"/><Relationship Id="rId45" Type="http://schemas.openxmlformats.org/officeDocument/2006/relationships/hyperlink" Target="https://cji.md/en/monthly-bulletin-september-2024-2" TargetMode="External"/><Relationship Id="rId53" Type="http://schemas.openxmlformats.org/officeDocument/2006/relationships/hyperlink" Target="https://mded.gov.md/transparency/digital-transformation-strategy-2023-2030" TargetMode="External"/><Relationship Id="rId58" Type="http://schemas.openxmlformats.org/officeDocument/2006/relationships/hyperlink" Target="https://eufordigital.eu/eu-supports-new-moldova-e-monitoring-system-for-policy-implementation-reform" TargetMode="External"/><Relationship Id="rId66" Type="http://schemas.openxmlformats.org/officeDocument/2006/relationships/hyperlink" Target="https://www.legis.md" TargetMode="External"/><Relationship Id="rId74" Type="http://schemas.openxmlformats.org/officeDocument/2006/relationships/hyperlink" Target="https://freedomhouse.org/sites/default/files/2024-11/Moldova_FOII_report_2024_Eng_FINAL.pdf" TargetMode="External"/><Relationship Id="rId79" Type="http://schemas.openxmlformats.org/officeDocument/2006/relationships/hyperlink" Target="https://enlargement.ec.europa.eu/european-neighbourhood-policy/countries-region/moldova_en" TargetMode="External"/><Relationship Id="rId87" Type="http://schemas.openxmlformats.org/officeDocument/2006/relationships/hyperlink" Target="https://archive.org/details/softpowermeansto00nyej" TargetMode="External"/><Relationship Id="rId102" Type="http://schemas.openxmlformats.org/officeDocument/2006/relationships/hyperlink" Target="https://enlargement.ec.europa.eu/document/download/d8ef3ca9-2191-46e7-b9b8-946363f6db91_en?filename=SWD_2023_698+Moldova+report.pdf" TargetMode="External"/><Relationship Id="rId110" Type="http://schemas.openxmlformats.org/officeDocument/2006/relationships/hyperlink" Target="https://memotef.web.uniroma1.it/sites/default/files/file%20lezioni/Manuel%20Castells%20-%20The%20Rise%20of%20the%20Network%20Society.pdf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carnegieendowment.org/research/2024/10/moldova-russia-strategy?center=russia-eurasia&amp;lang=en" TargetMode="External"/><Relationship Id="rId82" Type="http://schemas.openxmlformats.org/officeDocument/2006/relationships/hyperlink" Target="https://www.consentmo.com/blog-posts/new-data-protection-law-in-moldova" TargetMode="External"/><Relationship Id="rId90" Type="http://schemas.openxmlformats.org/officeDocument/2006/relationships/hyperlink" Target="https://www.opengovpartnership.org/members/republic-of-moldova" TargetMode="External"/><Relationship Id="rId95" Type="http://schemas.openxmlformats.org/officeDocument/2006/relationships/hyperlink" Target="https://ipre.md/wp-content/uploads/2024/09/PB_6_2024_Grassroots-info-resilience_final-EN_16.09.2024.pdf" TargetMode="External"/><Relationship Id="rId19" Type="http://schemas.openxmlformats.org/officeDocument/2006/relationships/hyperlink" Target="https://mfa.gov.ua/en/news/association-trio-memorandum-understanding-between-ministry-foreign-affairs-georgia-ministry-foreign-affairs-and-european-integration-republic-moldova-and-ministry-foreign-affairs-ukraine" TargetMode="External"/><Relationship Id="rId14" Type="http://schemas.openxmlformats.org/officeDocument/2006/relationships/hyperlink" Target="https://www.legis.md/cautare/getResults?doc_id=105417&amp;lang=ro" TargetMode="External"/><Relationship Id="rId22" Type="http://schemas.openxmlformats.org/officeDocument/2006/relationships/hyperlink" Target="https://www.europarl.europa.eu/thinktank/en/document/EPRS_BRI(2025)767215" TargetMode="External"/><Relationship Id="rId27" Type="http://schemas.openxmlformats.org/officeDocument/2006/relationships/hyperlink" Target="https://www.venice.coe.int/webforms/documents/default.aspx?pdffile=CDL-REF(2022)027-e" TargetMode="External"/><Relationship Id="rId30" Type="http://schemas.openxmlformats.org/officeDocument/2006/relationships/hyperlink" Target="https://www.legis.md/cautare/getResults?doc_id=111979&amp;lang=ro" TargetMode="External"/><Relationship Id="rId35" Type="http://schemas.openxmlformats.org/officeDocument/2006/relationships/hyperlink" Target="https://sis.md/sites/default/files/comunicate/fisiere/Raport_SIS_Public_Interferenta_in_procesul_electoral.pdf" TargetMode="External"/><Relationship Id="rId43" Type="http://schemas.openxmlformats.org/officeDocument/2006/relationships/hyperlink" Target="https://mded.gov.md/wp-content/uploads/2024/05/EN_Raport-Strategie.pdf" TargetMode="External"/><Relationship Id="rId48" Type="http://schemas.openxmlformats.org/officeDocument/2006/relationships/hyperlink" Target="https://stopfals.md/ro/about-us" TargetMode="External"/><Relationship Id="rId56" Type="http://schemas.openxmlformats.org/officeDocument/2006/relationships/hyperlink" Target="https://epde.org/wp-content/uploads/2024/10/Moldova-Policy-Paper-2-Disinformation-and-Foreign-Interference-in-Moldovan-Elections-1.pdf" TargetMode="External"/><Relationship Id="rId64" Type="http://schemas.openxmlformats.org/officeDocument/2006/relationships/hyperlink" Target="https://www.osce.org/fom/507792" TargetMode="External"/><Relationship Id="rId69" Type="http://schemas.openxmlformats.org/officeDocument/2006/relationships/hyperlink" Target="https://www.legis.md/cautare/getResults?doc_id=129249&amp;lang=ro" TargetMode="External"/><Relationship Id="rId77" Type="http://schemas.openxmlformats.org/officeDocument/2006/relationships/hyperlink" Target="https://www.integrallc.com/wp-content/uploads/2024/08/EEMELDS-3-Final_MEDIA-M_Evaluation_Report.pdf" TargetMode="External"/><Relationship Id="rId100" Type="http://schemas.openxmlformats.org/officeDocument/2006/relationships/hyperlink" Target="https://eur-lex.europa.eu/eli/reg/2016/679/oj" TargetMode="External"/><Relationship Id="rId105" Type="http://schemas.openxmlformats.org/officeDocument/2006/relationships/hyperlink" Target="https://freedomhouse.org/sites/default/files/2024-06/FH-Restrictions-on-freedom-of-speech-in-Gagauzia_Eng-06-24.pdf" TargetMode="External"/><Relationship Id="rId113" Type="http://schemas.openxmlformats.org/officeDocument/2006/relationships/hyperlink" Target="https://doi.org/10.35467/sdq/189686" TargetMode="External"/><Relationship Id="rId8" Type="http://schemas.openxmlformats.org/officeDocument/2006/relationships/header" Target="header2.xml"/><Relationship Id="rId51" Type="http://schemas.openxmlformats.org/officeDocument/2006/relationships/hyperlink" Target="https://eufordigital.eu/library/digital-moldova-2020-strategy" TargetMode="External"/><Relationship Id="rId72" Type="http://schemas.openxmlformats.org/officeDocument/2006/relationships/hyperlink" Target="https://www.legis.md/cautare/getResults?doc_id=63033&amp;lang=ro" TargetMode="External"/><Relationship Id="rId80" Type="http://schemas.openxmlformats.org/officeDocument/2006/relationships/hyperlink" Target="https://enlargement.ec.europa.eu/european-neighbourhood-policy/countries-region/moldova_en" TargetMode="External"/><Relationship Id="rId85" Type="http://schemas.openxmlformats.org/officeDocument/2006/relationships/hyperlink" Target="https://presedinte.md/app/webroot/uploaded/Proiect%20SSN_2023_En.pdf" TargetMode="External"/><Relationship Id="rId93" Type="http://schemas.openxmlformats.org/officeDocument/2006/relationships/hyperlink" Target="https://www.egov.md/ro/content/platforma-participgovmd" TargetMode="External"/><Relationship Id="rId98" Type="http://schemas.openxmlformats.org/officeDocument/2006/relationships/hyperlink" Target="https://sis.md/en/content/responsibilities-critical-infrastructure-operators-related-national-legislation-amendm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gis.md/cautare/getResults?doc_id=137924&amp;lang=ro" TargetMode="External"/><Relationship Id="rId17" Type="http://schemas.openxmlformats.org/officeDocument/2006/relationships/hyperlink" Target="https://www.europarl.europa.eu/thinktank/en/document/EPRS_BRI(2025)767215" TargetMode="External"/><Relationship Id="rId25" Type="http://schemas.openxmlformats.org/officeDocument/2006/relationships/hyperlink" Target="https://www.coe.int/en/web/pristina/reinforcing-judicial-expertise-on-freedom-of-expression-and-the-media-in-south-east-europe-jufrex" TargetMode="External"/><Relationship Id="rId33" Type="http://schemas.openxmlformats.org/officeDocument/2006/relationships/hyperlink" Target="https://doi.org/10.15421/152403" TargetMode="External"/><Relationship Id="rId38" Type="http://schemas.openxmlformats.org/officeDocument/2006/relationships/hyperlink" Target="https://www.sis.md/en/content/external-interference-electoral-processes-republic-moldova" TargetMode="External"/><Relationship Id="rId46" Type="http://schemas.openxmlformats.org/officeDocument/2006/relationships/hyperlink" Target="https://cji.md/en/monthly-bulletin-september-2024-2" TargetMode="External"/><Relationship Id="rId59" Type="http://schemas.openxmlformats.org/officeDocument/2006/relationships/hyperlink" Target="https://ifcncodeofprinciples.poynter.org/application/public/stopfalsmd/661a8b13ba7689d4814324cb" TargetMode="External"/><Relationship Id="rId67" Type="http://schemas.openxmlformats.org/officeDocument/2006/relationships/hyperlink" Target="https://www.legis.md/cautare/getResults?doc_id=135930&amp;lang=ro" TargetMode="External"/><Relationship Id="rId103" Type="http://schemas.openxmlformats.org/officeDocument/2006/relationships/hyperlink" Target="https://mded.gov.md/wp-content/uploads/2023/11/STD_EN.pdf" TargetMode="External"/><Relationship Id="rId108" Type="http://schemas.openxmlformats.org/officeDocument/2006/relationships/hyperlink" Target="https://euvsdisinfo.eu/russian-experiments-with-disinformation-in-moldov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fa.gov.ua/en/news/association-trio-memorandum-understanding-between-ministry-foreign-affairs-georgia-ministry-foreign-affairs-and-european-integration-republic-moldova-and-ministry-foreign-affairs-ukraine" TargetMode="External"/><Relationship Id="rId41" Type="http://schemas.openxmlformats.org/officeDocument/2006/relationships/hyperlink" Target="https://agora.md/stiri/93771/analiza-transformarea-digitala-a-moldovei-o-cale-fara-de-intoarcere" TargetMode="External"/><Relationship Id="rId54" Type="http://schemas.openxmlformats.org/officeDocument/2006/relationships/hyperlink" Target="https://mded.gov.md/transparency/digital-transformation-strategy-2023-2030" TargetMode="External"/><Relationship Id="rId62" Type="http://schemas.openxmlformats.org/officeDocument/2006/relationships/hyperlink" Target="https://carnegieendowment.org/research/2024/10/moldova-russia-strategy?center=russia-eurasia&amp;lang=en" TargetMode="External"/><Relationship Id="rId70" Type="http://schemas.openxmlformats.org/officeDocument/2006/relationships/hyperlink" Target="https://www.legis.md/cautare/getResults?doc_id=129249&amp;lang=ro" TargetMode="External"/><Relationship Id="rId75" Type="http://schemas.openxmlformats.org/officeDocument/2006/relationships/hyperlink" Target="https://cdn.epra.org/attachments/files/4656/original/Media_Literacy_Srategy_for_Audiovisual_Council_Moldova.pdf" TargetMode="External"/><Relationship Id="rId83" Type="http://schemas.openxmlformats.org/officeDocument/2006/relationships/hyperlink" Target="https://enlargement.ec.europa.eu/document/download/858717b3-f8ef-4514-89fe-54a6aa15ef69_en?filename=Moldova+Report+2024.pdf" TargetMode="External"/><Relationship Id="rId88" Type="http://schemas.openxmlformats.org/officeDocument/2006/relationships/hyperlink" Target="https://archive.org/details/softpowermeansto00nyej" TargetMode="External"/><Relationship Id="rId91" Type="http://schemas.openxmlformats.org/officeDocument/2006/relationships/hyperlink" Target="https://www.coe.int/ro/web/chisinau/council-of-europe-action-plan" TargetMode="External"/><Relationship Id="rId96" Type="http://schemas.openxmlformats.org/officeDocument/2006/relationships/hyperlink" Target="https://ipre.md/wp-content/uploads/2024/09/PB_6_2024_Grassroots-info-resilience_final-EN_16.09.2024.pdf" TargetMode="External"/><Relationship Id="rId111" Type="http://schemas.openxmlformats.org/officeDocument/2006/relationships/hyperlink" Target="https://www.eeas.europa.eu/sites/default/files/documents/2025/EEAS-3nd-ThreatReport-March-2025-05-Digital-H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onitorul.md" TargetMode="External"/><Relationship Id="rId23" Type="http://schemas.openxmlformats.org/officeDocument/2006/relationships/hyperlink" Target="https://www.legis.md/cautare/getResults?doc_id=85987&amp;lang=ro" TargetMode="External"/><Relationship Id="rId28" Type="http://schemas.openxmlformats.org/officeDocument/2006/relationships/hyperlink" Target="https://www.venice.coe.int/webforms/documents/default.aspx?pdffile=CDL-REF(2022)027-e" TargetMode="External"/><Relationship Id="rId36" Type="http://schemas.openxmlformats.org/officeDocument/2006/relationships/hyperlink" Target="https://sis.md/sites/default/files/comunicate/fisiere/Raport_SIS_Public_Interferenta_in_procesul_electoral.pdf" TargetMode="External"/><Relationship Id="rId49" Type="http://schemas.openxmlformats.org/officeDocument/2006/relationships/hyperlink" Target="https://www.legis.md/cautare/getResults?doc_id=126377&amp;lang=ro" TargetMode="External"/><Relationship Id="rId57" Type="http://schemas.openxmlformats.org/officeDocument/2006/relationships/hyperlink" Target="https://eufordigital.eu/eu-supports-new-moldova-e-monitoring-system-for-policy-implementation-reform" TargetMode="External"/><Relationship Id="rId106" Type="http://schemas.openxmlformats.org/officeDocument/2006/relationships/hyperlink" Target="https://freedomhouse.org/sites/default/files/2024-06/FH-Restrictions-on-freedom-of-speech-in-Gagauzia_Eng-06-24.pdf" TargetMode="External"/><Relationship Id="rId114" Type="http://schemas.openxmlformats.org/officeDocument/2006/relationships/hyperlink" Target="https://doi.org/10.35467/sdq/189686" TargetMode="External"/><Relationship Id="rId10" Type="http://schemas.openxmlformats.org/officeDocument/2006/relationships/hyperlink" Target="https://eur-lex.europa.eu/legal-content/EN/TXT/?uri=CELEX:32018L1808" TargetMode="External"/><Relationship Id="rId31" Type="http://schemas.openxmlformats.org/officeDocument/2006/relationships/hyperlink" Target="https://www.rise.md/membru" TargetMode="External"/><Relationship Id="rId44" Type="http://schemas.openxmlformats.org/officeDocument/2006/relationships/hyperlink" Target="https://mded.gov.md/wp-content/uploads/2024/05/EN_Raport-Strategie.pdf" TargetMode="External"/><Relationship Id="rId52" Type="http://schemas.openxmlformats.org/officeDocument/2006/relationships/hyperlink" Target="https://eufordigital.eu/library/digital-moldova-2020-strategy" TargetMode="External"/><Relationship Id="rId60" Type="http://schemas.openxmlformats.org/officeDocument/2006/relationships/hyperlink" Target="https://ifcncodeofprinciples.poynter.org/application/public/stopfalsmd/661a8b13ba7689d4814324cb" TargetMode="External"/><Relationship Id="rId65" Type="http://schemas.openxmlformats.org/officeDocument/2006/relationships/hyperlink" Target="https://www.legis.md" TargetMode="External"/><Relationship Id="rId73" Type="http://schemas.openxmlformats.org/officeDocument/2006/relationships/hyperlink" Target="https://freedomhouse.org/sites/default/files/2024-11/Moldova_FOII_report_2024_Eng_FINAL.pdf" TargetMode="External"/><Relationship Id="rId78" Type="http://schemas.openxmlformats.org/officeDocument/2006/relationships/hyperlink" Target="https://www.integrallc.com/wp-content/uploads/2024/08/EEMELDS-3-Final_MEDIA-M_Evaluation_Report.pdf" TargetMode="External"/><Relationship Id="rId81" Type="http://schemas.openxmlformats.org/officeDocument/2006/relationships/hyperlink" Target="https://www.consentmo.com/blog-posts/new-data-protection-law-in-moldova" TargetMode="External"/><Relationship Id="rId86" Type="http://schemas.openxmlformats.org/officeDocument/2006/relationships/hyperlink" Target="https://presedinte.md/app/webroot/uploaded/Proiect%20SSN_2023_En.pdf" TargetMode="External"/><Relationship Id="rId94" Type="http://schemas.openxmlformats.org/officeDocument/2006/relationships/hyperlink" Target="https://www.egov.md/ro/content/platforma-participgovmd" TargetMode="External"/><Relationship Id="rId99" Type="http://schemas.openxmlformats.org/officeDocument/2006/relationships/hyperlink" Target="https://eur-lex.europa.eu/eli/reg/2016/679/oj" TargetMode="External"/><Relationship Id="rId101" Type="http://schemas.openxmlformats.org/officeDocument/2006/relationships/hyperlink" Target="https://enlargement.ec.europa.eu/document/download/d8ef3ca9-2191-46e7-b9b8-946363f6db91_en?filename=SWD_2023_698+Moldova+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32018L1808" TargetMode="External"/><Relationship Id="rId13" Type="http://schemas.openxmlformats.org/officeDocument/2006/relationships/hyperlink" Target="https://www.legis.md/cautare/getResults?doc_id=105417&amp;lang=ro" TargetMode="External"/><Relationship Id="rId18" Type="http://schemas.openxmlformats.org/officeDocument/2006/relationships/hyperlink" Target="https://www.europarl.europa.eu/thinktank/en/document/EPRS_BRI(2025)767215" TargetMode="External"/><Relationship Id="rId39" Type="http://schemas.openxmlformats.org/officeDocument/2006/relationships/hyperlink" Target="https://www.eeas.europa.eu/eupm-moldova/about-eu-partnership-mission-republic-moldova_en" TargetMode="External"/><Relationship Id="rId109" Type="http://schemas.openxmlformats.org/officeDocument/2006/relationships/hyperlink" Target="https://memotef.web.uniroma1.it/sites/default/files/file%20lezioni/Manuel%20Castells%20-%20The%20Rise%20of%20the%20Network%20Society.pdf" TargetMode="External"/><Relationship Id="rId34" Type="http://schemas.openxmlformats.org/officeDocument/2006/relationships/hyperlink" Target="https://doi.org/10.15421/152403" TargetMode="External"/><Relationship Id="rId50" Type="http://schemas.openxmlformats.org/officeDocument/2006/relationships/hyperlink" Target="https://www.legis.md/cautare/getResults?doc_id=126377&amp;lang=ro" TargetMode="External"/><Relationship Id="rId55" Type="http://schemas.openxmlformats.org/officeDocument/2006/relationships/hyperlink" Target="https://epde.org/wp-content/uploads/2024/10/Moldova-Policy-Paper-2-Disinformation-and-Foreign-Interference-in-Moldovan-Elections-1.pdf" TargetMode="External"/><Relationship Id="rId76" Type="http://schemas.openxmlformats.org/officeDocument/2006/relationships/hyperlink" Target="https://cdn.epra.org/attachments/files/4656/original/Media_Literacy_Srategy_for_Audiovisual_Council_Moldova.pdf" TargetMode="External"/><Relationship Id="rId97" Type="http://schemas.openxmlformats.org/officeDocument/2006/relationships/hyperlink" Target="https://sis.md/en/content/responsibilities-critical-infrastructure-operators-related-national-legislation-amendments" TargetMode="External"/><Relationship Id="rId104" Type="http://schemas.openxmlformats.org/officeDocument/2006/relationships/hyperlink" Target="https://mded.gov.md/wp-content/uploads/2023/11/STD_EN.pdf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legis.md/cautare/getResults?doc_id=63033&amp;lang=ro" TargetMode="External"/><Relationship Id="rId92" Type="http://schemas.openxmlformats.org/officeDocument/2006/relationships/hyperlink" Target="https://www.coe.int/ro/web/chisinau/council-of-europe-action-pl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egis.md/cautare/getResults?doc_id=111979&amp;lang=ro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mded.gov.md/transparency/digital-transformation-strategy-2023-2030/" TargetMode="External"/><Relationship Id="rId18" Type="http://schemas.openxmlformats.org/officeDocument/2006/relationships/hyperlink" Target="https://www.legis.md/cautare/getResults?doc_id=137924&amp;lang=ro" TargetMode="External"/><Relationship Id="rId26" Type="http://schemas.openxmlformats.org/officeDocument/2006/relationships/hyperlink" Target="https://www.legis.md/cautare/getResults?doc_id=126377&amp;lang=ro" TargetMode="External"/><Relationship Id="rId39" Type="http://schemas.openxmlformats.org/officeDocument/2006/relationships/hyperlink" Target="https://www.legis.md/cautare/getResults?doc_id=129249&amp;lang=ro" TargetMode="External"/><Relationship Id="rId21" Type="http://schemas.openxmlformats.org/officeDocument/2006/relationships/hyperlink" Target="https://www.legis.md/cautare/getResults?doc_id=105417&amp;lang=ro" TargetMode="External"/><Relationship Id="rId34" Type="http://schemas.openxmlformats.org/officeDocument/2006/relationships/hyperlink" Target="https://www.legis.md/cautare/getResults?doc_id=135930&amp;lang=ro" TargetMode="External"/><Relationship Id="rId42" Type="http://schemas.openxmlformats.org/officeDocument/2006/relationships/hyperlink" Target="https://sis.md/en/content/responsibilities-critical-infrastructure-operators-related-national-legislation-amendments" TargetMode="External"/><Relationship Id="rId47" Type="http://schemas.openxmlformats.org/officeDocument/2006/relationships/hyperlink" Target="https://www.egov.md/ro/content/platforma-participgovmd" TargetMode="External"/><Relationship Id="rId50" Type="http://schemas.openxmlformats.org/officeDocument/2006/relationships/hyperlink" Target="https://freedomhouse.org/sites/default/files/2024-11/Moldova_FOII_report_2024_Eng_FINAL.pdf" TargetMode="External"/><Relationship Id="rId55" Type="http://schemas.openxmlformats.org/officeDocument/2006/relationships/hyperlink" Target="https://www.eeas.europa.eu/sites/default/files/documents/2025/EEAS-3nd-ThreatReport-March-2025-05-Digital-HD.pdf" TargetMode="External"/><Relationship Id="rId63" Type="http://schemas.openxmlformats.org/officeDocument/2006/relationships/hyperlink" Target="https://www.legis.md/cautare/getResults?doc_id=111979&amp;lang=ro" TargetMode="External"/><Relationship Id="rId68" Type="http://schemas.openxmlformats.org/officeDocument/2006/relationships/hyperlink" Target="https://www.sis.md/en/content/external-interference-electoral-processes-republic-moldova" TargetMode="External"/><Relationship Id="rId76" Type="http://schemas.openxmlformats.org/officeDocument/2006/relationships/hyperlink" Target="https://www.rise.md/membru" TargetMode="External"/><Relationship Id="rId84" Type="http://schemas.openxmlformats.org/officeDocument/2006/relationships/hyperlink" Target="https://www.consentmo.com/blog-posts/new-data-protection-law-in-moldova" TargetMode="External"/><Relationship Id="rId89" Type="http://schemas.openxmlformats.org/officeDocument/2006/relationships/hyperlink" Target="https://mfa.gov.ua/en/news/association-trio-memorandum-understanding-between-ministry-foreign-affairs-georgia-ministry-foreign-affairs-and-european-integration-republic-moldova-and-ministry-foreign-affairs-ukraine" TargetMode="External"/><Relationship Id="rId7" Type="http://schemas.openxmlformats.org/officeDocument/2006/relationships/hyperlink" Target="https://www.legis.md/cautare/getResults?doc_id=126377&amp;lang=ro" TargetMode="External"/><Relationship Id="rId71" Type="http://schemas.openxmlformats.org/officeDocument/2006/relationships/hyperlink" Target="https://www.eeas.europa.eu/eupm-moldova/about-eu-partnership-mission-republic-moldova_en" TargetMode="External"/><Relationship Id="rId92" Type="http://schemas.openxmlformats.org/officeDocument/2006/relationships/hyperlink" Target="https://mded.gov.md/wp-content/uploads/2023/11/STD_EN.pdf" TargetMode="External"/><Relationship Id="rId2" Type="http://schemas.openxmlformats.org/officeDocument/2006/relationships/hyperlink" Target="https://agora.md/stiri/93771/analiza-transformarea-digitala-a-moldovei-o-cale-fara-de-intoarcere" TargetMode="External"/><Relationship Id="rId16" Type="http://schemas.openxmlformats.org/officeDocument/2006/relationships/hyperlink" Target="https://www.monitorul.md" TargetMode="External"/><Relationship Id="rId29" Type="http://schemas.openxmlformats.org/officeDocument/2006/relationships/hyperlink" Target="https://eur-lex.europa.eu/eli/reg/2016/679/oj" TargetMode="External"/><Relationship Id="rId11" Type="http://schemas.openxmlformats.org/officeDocument/2006/relationships/hyperlink" Target="https://eufordigital.eu/library/digital-moldova-2020-strategy/" TargetMode="External"/><Relationship Id="rId24" Type="http://schemas.openxmlformats.org/officeDocument/2006/relationships/hyperlink" Target="https://www.legis.md/cautare/getResults?doc_id=126377&amp;lang=ro" TargetMode="External"/><Relationship Id="rId32" Type="http://schemas.openxmlformats.org/officeDocument/2006/relationships/hyperlink" Target="https://enlargement.ec.europa.eu/document/download/d8ef3ca9-2191-46e7-b9b8-946363f6db91_en?filename=SWD_2023_698+Moldova+report.pdf" TargetMode="External"/><Relationship Id="rId37" Type="http://schemas.openxmlformats.org/officeDocument/2006/relationships/hyperlink" Target="https://mded.gov.md/transparency/digital-transformation-strategy-2023-2030" TargetMode="External"/><Relationship Id="rId40" Type="http://schemas.openxmlformats.org/officeDocument/2006/relationships/hyperlink" Target="https://www.legis.md/cautare/getResults?doc_id=63033&amp;lang=ro" TargetMode="External"/><Relationship Id="rId45" Type="http://schemas.openxmlformats.org/officeDocument/2006/relationships/hyperlink" Target="https://mded.gov.md/wp-content/uploads/2023/11/STD_EN.pdf" TargetMode="External"/><Relationship Id="rId53" Type="http://schemas.openxmlformats.org/officeDocument/2006/relationships/hyperlink" Target="https://www.opengovpartnership.org/members/republic-of-moldova" TargetMode="External"/><Relationship Id="rId58" Type="http://schemas.openxmlformats.org/officeDocument/2006/relationships/hyperlink" Target="https://carnegieendowment.org/research/2024/10/moldova-russia-strategy?center=russia-eurasia&amp;lang=en" TargetMode="External"/><Relationship Id="rId66" Type="http://schemas.openxmlformats.org/officeDocument/2006/relationships/hyperlink" Target="https://www.legis.md/cautare/getResults?doc_id=63033&amp;lang=ro" TargetMode="External"/><Relationship Id="rId74" Type="http://schemas.openxmlformats.org/officeDocument/2006/relationships/hyperlink" Target="https://ifcncodeofprinciples.poynter.org/application/public/stopfalsmd/661a8b13ba7689d4814324cb" TargetMode="External"/><Relationship Id="rId79" Type="http://schemas.openxmlformats.org/officeDocument/2006/relationships/hyperlink" Target="https://enlargement.ec.europa.eu/european-neighbourhood-policy/countries-region/moldova_en" TargetMode="External"/><Relationship Id="rId87" Type="http://schemas.openxmlformats.org/officeDocument/2006/relationships/hyperlink" Target="https://www.europarl.europa.eu/thinktank/en/document/EPRS_BRI(2025)767215" TargetMode="External"/><Relationship Id="rId5" Type="http://schemas.openxmlformats.org/officeDocument/2006/relationships/hyperlink" Target="https://ipre.md/wp-content/uploads/2024/09/PB_6_2024_Grassroots-info-resilience_final-EN_16.09.2024.pdf" TargetMode="External"/><Relationship Id="rId61" Type="http://schemas.openxmlformats.org/officeDocument/2006/relationships/hyperlink" Target="https://doi.org/10.35467/sdq/189686" TargetMode="External"/><Relationship Id="rId82" Type="http://schemas.openxmlformats.org/officeDocument/2006/relationships/hyperlink" Target="https://enlargement.ec.europa.eu/document/download/858717b3-f8ef-4514-89fe-54a6aa15ef69_en?filename=Moldova+Report+2024.pdf" TargetMode="External"/><Relationship Id="rId90" Type="http://schemas.openxmlformats.org/officeDocument/2006/relationships/hyperlink" Target="https://mfa.gov.ua/en/news/association-trio-memorandum-understanding-between-ministry-foreign-affairs-georgia-ministry-foreign-affairs-and-european-integration-republic-moldova-and-ministry-foreign-affairs-ukraine" TargetMode="External"/><Relationship Id="rId95" Type="http://schemas.openxmlformats.org/officeDocument/2006/relationships/hyperlink" Target="https://cji.md/en/monthly-bulletin-september-2024-2" TargetMode="External"/><Relationship Id="rId19" Type="http://schemas.openxmlformats.org/officeDocument/2006/relationships/hyperlink" Target="https://www.legis.md/cautare/getResults?doc_id=137924&amp;lang=ro" TargetMode="External"/><Relationship Id="rId14" Type="http://schemas.openxmlformats.org/officeDocument/2006/relationships/hyperlink" Target="https://mded.gov.md/transparency/digital-transformation-strategy-2023-2030/" TargetMode="External"/><Relationship Id="rId22" Type="http://schemas.openxmlformats.org/officeDocument/2006/relationships/hyperlink" Target="https://www.legis.md/cautare/getResults?doc_id=105417&amp;lang=ro" TargetMode="External"/><Relationship Id="rId27" Type="http://schemas.openxmlformats.org/officeDocument/2006/relationships/hyperlink" Target="https://eur-lex.europa.eu/legal-content/EN/TXT/?uri=CELEX:32018L1808" TargetMode="External"/><Relationship Id="rId30" Type="http://schemas.openxmlformats.org/officeDocument/2006/relationships/hyperlink" Target="https://eur-lex.europa.eu/eli/reg/2016/679/oj" TargetMode="External"/><Relationship Id="rId35" Type="http://schemas.openxmlformats.org/officeDocument/2006/relationships/hyperlink" Target="https://www.legis.md/cautare/getResults?doc_id=135930&amp;lang=ro" TargetMode="External"/><Relationship Id="rId43" Type="http://schemas.openxmlformats.org/officeDocument/2006/relationships/hyperlink" Target="https://sis.md/en/content/responsibilities-critical-infrastructure-operators-related-national-legislation-amendments" TargetMode="External"/><Relationship Id="rId48" Type="http://schemas.openxmlformats.org/officeDocument/2006/relationships/hyperlink" Target="https://eufordigital.eu/eu-supports-new-moldova-e-monitoring-system-for-policy-implementation-reform" TargetMode="External"/><Relationship Id="rId56" Type="http://schemas.openxmlformats.org/officeDocument/2006/relationships/hyperlink" Target="https://www.eeas.europa.eu/sites/default/files/documents/2025/EEAS-3nd-ThreatReport-March-2025-05-Digital-HD.pdf" TargetMode="External"/><Relationship Id="rId64" Type="http://schemas.openxmlformats.org/officeDocument/2006/relationships/hyperlink" Target="https://www.legis.md/cautare/getResults?doc_id=111979&amp;lang=ro" TargetMode="External"/><Relationship Id="rId69" Type="http://schemas.openxmlformats.org/officeDocument/2006/relationships/hyperlink" Target="https://www.venice.coe.int/webforms/documents/default.aspx?pdffile=CDL-REF(2022)027-e" TargetMode="External"/><Relationship Id="rId77" Type="http://schemas.openxmlformats.org/officeDocument/2006/relationships/hyperlink" Target="https://www.coe.int/en/web/pristina/reinforcing-judicial-expertise-on-freedom-of-expression-and-the-media-in-south-east-europe-jufrex" TargetMode="External"/><Relationship Id="rId8" Type="http://schemas.openxmlformats.org/officeDocument/2006/relationships/hyperlink" Target="https://www.legis.md/cautare/getResults?doc_id=126377&amp;lang=ro" TargetMode="External"/><Relationship Id="rId51" Type="http://schemas.openxmlformats.org/officeDocument/2006/relationships/hyperlink" Target="https://www.coe.int/ro/web/chisinau/council-of-europe-action-plan" TargetMode="External"/><Relationship Id="rId72" Type="http://schemas.openxmlformats.org/officeDocument/2006/relationships/hyperlink" Target="https://www.eeas.europa.eu/eupm-moldova/about-eu-partnership-mission-republic-moldova_en" TargetMode="External"/><Relationship Id="rId80" Type="http://schemas.openxmlformats.org/officeDocument/2006/relationships/hyperlink" Target="https://enlargement.ec.europa.eu/european-neighbourhood-policy/countries-region/moldova_en" TargetMode="External"/><Relationship Id="rId85" Type="http://schemas.openxmlformats.org/officeDocument/2006/relationships/hyperlink" Target="https://www.eeas.europa.eu/sites/default/files/documents/2025/EEAS-3nd-ThreatReport-March-2025-05-Digital-HD.pdf" TargetMode="External"/><Relationship Id="rId93" Type="http://schemas.openxmlformats.org/officeDocument/2006/relationships/hyperlink" Target="https://cdn.epra.org/attachments/files/4656/original/Media_Literacy_Srategy_for_Audiovisual_Council_Moldova.pdf" TargetMode="External"/><Relationship Id="rId3" Type="http://schemas.openxmlformats.org/officeDocument/2006/relationships/hyperlink" Target="https://memotef.web.uniroma1.it/sites/default/files/file%20lezioni/Manuel%20Castells%20-%20The%20Rise%20of%20the%20Network%20Society.pdf" TargetMode="External"/><Relationship Id="rId12" Type="http://schemas.openxmlformats.org/officeDocument/2006/relationships/hyperlink" Target="https://eufordigital.eu/library/digital-moldova-2020-strategy/" TargetMode="External"/><Relationship Id="rId17" Type="http://schemas.openxmlformats.org/officeDocument/2006/relationships/hyperlink" Target="https://www.legis.md/cautare/getResults?doc_id=137924&amp;lang=ro" TargetMode="External"/><Relationship Id="rId25" Type="http://schemas.openxmlformats.org/officeDocument/2006/relationships/hyperlink" Target="https://www.legis.md/cautare/getResults?doc_id=126377&amp;lang=ro" TargetMode="External"/><Relationship Id="rId33" Type="http://schemas.openxmlformats.org/officeDocument/2006/relationships/hyperlink" Target="https://www.legis.md/cautare/getResults?doc_id=85987&amp;lang=ro" TargetMode="External"/><Relationship Id="rId38" Type="http://schemas.openxmlformats.org/officeDocument/2006/relationships/hyperlink" Target="https://www.legis.md/cautare/getResults?doc_id=129249&amp;lang=ro" TargetMode="External"/><Relationship Id="rId46" Type="http://schemas.openxmlformats.org/officeDocument/2006/relationships/hyperlink" Target="https://www.egov.md/ro/content/platforma-participgovmd" TargetMode="External"/><Relationship Id="rId59" Type="http://schemas.openxmlformats.org/officeDocument/2006/relationships/hyperlink" Target="https://freedomhouse.org/sites/default/files/2024-06/FH-Restrictions-on-freedom-of-speech-in-Gagauzia_Eng-06-24.pdf" TargetMode="External"/><Relationship Id="rId67" Type="http://schemas.openxmlformats.org/officeDocument/2006/relationships/hyperlink" Target="https://www.sis.md/en/content/external-interference-electoral-processes-republic-moldova" TargetMode="External"/><Relationship Id="rId20" Type="http://schemas.openxmlformats.org/officeDocument/2006/relationships/hyperlink" Target="https://www.legis.md/cautare/getResults?doc_id=137924&amp;lang=ro" TargetMode="External"/><Relationship Id="rId41" Type="http://schemas.openxmlformats.org/officeDocument/2006/relationships/hyperlink" Target="https://www.legis.md/cautare/getResults?doc_id=63033&amp;lang=ro" TargetMode="External"/><Relationship Id="rId54" Type="http://schemas.openxmlformats.org/officeDocument/2006/relationships/hyperlink" Target="https://www.opengovpartnership.org/members/republic-of-moldova" TargetMode="External"/><Relationship Id="rId62" Type="http://schemas.openxmlformats.org/officeDocument/2006/relationships/hyperlink" Target="https://doi.org/10.35467/sdq/189686" TargetMode="External"/><Relationship Id="rId70" Type="http://schemas.openxmlformats.org/officeDocument/2006/relationships/hyperlink" Target="https://www.venice.coe.int/webforms/documents/default.aspx?pdffile=CDL-REF(2022)027-e" TargetMode="External"/><Relationship Id="rId75" Type="http://schemas.openxmlformats.org/officeDocument/2006/relationships/hyperlink" Target="https://www.rise.md/membru" TargetMode="External"/><Relationship Id="rId83" Type="http://schemas.openxmlformats.org/officeDocument/2006/relationships/hyperlink" Target="https://www.consentmo.com/blog-posts/new-data-protection-law-in-moldova" TargetMode="External"/><Relationship Id="rId88" Type="http://schemas.openxmlformats.org/officeDocument/2006/relationships/hyperlink" Target="https://www.europarl.europa.eu/thinktank/en/document/EPRS_BRI(2025)767215" TargetMode="External"/><Relationship Id="rId91" Type="http://schemas.openxmlformats.org/officeDocument/2006/relationships/hyperlink" Target="https://mded.gov.md/wp-content/uploads/2023/11/STD_EN.pdf" TargetMode="External"/><Relationship Id="rId96" Type="http://schemas.openxmlformats.org/officeDocument/2006/relationships/hyperlink" Target="https://cji.md/en/monthly-bulletin-september-2024-2" TargetMode="External"/><Relationship Id="rId1" Type="http://schemas.openxmlformats.org/officeDocument/2006/relationships/hyperlink" Target="https://agora.md/stiri/93771/analiza-transformarea-digitala-a-moldovei-o-cale-fara-de-intoarcere" TargetMode="External"/><Relationship Id="rId6" Type="http://schemas.openxmlformats.org/officeDocument/2006/relationships/hyperlink" Target="https://ipre.md/wp-content/uploads/2024/09/PB_6_2024_Grassroots-info-resilience_final-EN_16.09.2024.pdf" TargetMode="External"/><Relationship Id="rId15" Type="http://schemas.openxmlformats.org/officeDocument/2006/relationships/hyperlink" Target="https://www.monitorul.md" TargetMode="External"/><Relationship Id="rId23" Type="http://schemas.openxmlformats.org/officeDocument/2006/relationships/hyperlink" Target="https://www.legis.md/cautare/getResults?doc_id=126377&amp;lang=ro" TargetMode="External"/><Relationship Id="rId28" Type="http://schemas.openxmlformats.org/officeDocument/2006/relationships/hyperlink" Target="https://eur-lex.europa.eu/legal-content/EN/TXT/?uri=CELEX:32018L1808" TargetMode="External"/><Relationship Id="rId36" Type="http://schemas.openxmlformats.org/officeDocument/2006/relationships/hyperlink" Target="https://mded.gov.md/transparency/digital-transformation-strategy-2023-2030" TargetMode="External"/><Relationship Id="rId49" Type="http://schemas.openxmlformats.org/officeDocument/2006/relationships/hyperlink" Target="https://freedomhouse.org/sites/default/files/2024-11/Moldova_FOII_report_2024_Eng_FINAL.pdf" TargetMode="External"/><Relationship Id="rId57" Type="http://schemas.openxmlformats.org/officeDocument/2006/relationships/hyperlink" Target="https://carnegieendowment.org/research/2024/10/moldova-russia-strategy?center=russia-eurasia&amp;lang=en" TargetMode="External"/><Relationship Id="rId10" Type="http://schemas.openxmlformats.org/officeDocument/2006/relationships/hyperlink" Target="https://www.integrallc.com/wp-content/uploads/2024/08/EEMELDS-3-Final_MEDIA-M_Evaluation_Report.pdf" TargetMode="External"/><Relationship Id="rId31" Type="http://schemas.openxmlformats.org/officeDocument/2006/relationships/hyperlink" Target="https://enlargement.ec.europa.eu/document/download/d8ef3ca9-2191-46e7-b9b8-946363f6db91_en?filename=SWD_2023_698+Moldova+report.pdf" TargetMode="External"/><Relationship Id="rId44" Type="http://schemas.openxmlformats.org/officeDocument/2006/relationships/hyperlink" Target="https://mded.gov.md/wp-content/uploads/2023/11/STD_EN.pdf" TargetMode="External"/><Relationship Id="rId52" Type="http://schemas.openxmlformats.org/officeDocument/2006/relationships/hyperlink" Target="https://www.coe.int/ro/web/chisinau/council-of-europe-action-plan" TargetMode="External"/><Relationship Id="rId60" Type="http://schemas.openxmlformats.org/officeDocument/2006/relationships/hyperlink" Target="https://freedomhouse.org/sites/default/files/2024-06/FH-Restrictions-on-freedom-of-speech-in-Gagauzia_Eng-06-24.pdf" TargetMode="External"/><Relationship Id="rId65" Type="http://schemas.openxmlformats.org/officeDocument/2006/relationships/hyperlink" Target="https://www.legis.md/cautare/getResults?doc_id=63033&amp;lang=ro" TargetMode="External"/><Relationship Id="rId73" Type="http://schemas.openxmlformats.org/officeDocument/2006/relationships/hyperlink" Target="https://ifcncodeofprinciples.poynter.org/application/public/stopfalsmd/661a8b13ba7689d4814324cb" TargetMode="External"/><Relationship Id="rId78" Type="http://schemas.openxmlformats.org/officeDocument/2006/relationships/hyperlink" Target="https://www.coe.int/en/web/pristina/reinforcing-judicial-expertise-on-freedom-of-expression-and-the-media-in-south-east-europe-jufrex" TargetMode="External"/><Relationship Id="rId81" Type="http://schemas.openxmlformats.org/officeDocument/2006/relationships/hyperlink" Target="https://enlargement.ec.europa.eu/document/download/858717b3-f8ef-4514-89fe-54a6aa15ef69_en?filename=Moldova+Report+2024.pdf" TargetMode="External"/><Relationship Id="rId86" Type="http://schemas.openxmlformats.org/officeDocument/2006/relationships/hyperlink" Target="https://www.eeas.europa.eu/sites/default/files/documents/2025/EEAS-3nd-ThreatReport-March-2025-05-Digital-HD.pdf" TargetMode="External"/><Relationship Id="rId94" Type="http://schemas.openxmlformats.org/officeDocument/2006/relationships/hyperlink" Target="https://cdn.epra.org/attachments/files/4656/original/Media_Literacy_Srategy_for_Audiovisual_Council_Moldova.pdf" TargetMode="External"/><Relationship Id="rId4" Type="http://schemas.openxmlformats.org/officeDocument/2006/relationships/hyperlink" Target="https://memotef.web.uniroma1.it/sites/default/files/file%20lezioni/Manuel%20Castells%20-%20The%20Rise%20of%20the%20Network%20Society.pdf" TargetMode="External"/><Relationship Id="rId9" Type="http://schemas.openxmlformats.org/officeDocument/2006/relationships/hyperlink" Target="https://www.integrallc.com/wp-content/uploads/2024/08/EEMELDS-3-Final_MEDIA-M_Evaluation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73</Pages>
  <Words>20846</Words>
  <Characters>118825</Characters>
  <Application>Microsoft Office Word</Application>
  <DocSecurity>0</DocSecurity>
  <Lines>990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Аделія Едуардівна Волошина</cp:lastModifiedBy>
  <cp:revision>9</cp:revision>
  <dcterms:created xsi:type="dcterms:W3CDTF">2025-06-08T15:31:00Z</dcterms:created>
  <dcterms:modified xsi:type="dcterms:W3CDTF">2025-06-11T05:03:00Z</dcterms:modified>
</cp:coreProperties>
</file>