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CAC4B">
      <w:pPr>
        <w:ind w:firstLine="3795" w:firstLineChars="1350"/>
        <w:rPr>
          <w:rFonts w:ascii="Times New Roman" w:hAnsi="Times New Roman" w:cs="Times New Roman"/>
          <w:b/>
          <w:bCs/>
          <w:sz w:val="28"/>
          <w:szCs w:val="28"/>
          <w:lang w:val="uk-UA"/>
        </w:rPr>
      </w:pPr>
      <w:r>
        <w:rPr>
          <w:rFonts w:ascii="Times New Roman" w:hAnsi="Times New Roman" w:cs="Times New Roman"/>
          <w:b/>
          <w:bCs/>
          <w:sz w:val="28"/>
          <w:szCs w:val="28"/>
          <w:lang w:val="uk-UA"/>
        </w:rPr>
        <w:t>РОЗДІЛ 1.</w:t>
      </w:r>
    </w:p>
    <w:p w14:paraId="2E0FC998">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ТЕОРЕТИЧНІ ЗАСАДИ ФОРМУВАННЯ ЛЕКСИЧНОГО КОМПОНЕНТА МОВЛЕННЯ У ДІТЕЙ ДОШКІЛЬНОГО ВІКУ </w:t>
      </w:r>
      <w:r>
        <w:rPr>
          <w:rFonts w:ascii="Times New Roman" w:hAnsi="Times New Roman" w:cs="Times New Roman"/>
          <w:b/>
          <w:bCs/>
          <w:sz w:val="28"/>
          <w:szCs w:val="28"/>
          <w:lang w:val="uk-UA"/>
        </w:rPr>
        <w:br w:type="textWrapping"/>
      </w:r>
      <w:r>
        <w:rPr>
          <w:rFonts w:ascii="Times New Roman" w:hAnsi="Times New Roman" w:cs="Times New Roman"/>
          <w:b/>
          <w:bCs/>
          <w:sz w:val="28"/>
          <w:szCs w:val="28"/>
          <w:lang w:val="uk-UA"/>
        </w:rPr>
        <w:t>З МОВЛЕННЄВИМИ ТРУДНОЩАМИ</w:t>
      </w:r>
    </w:p>
    <w:p w14:paraId="7E34FB0E">
      <w:pPr>
        <w:spacing w:line="360" w:lineRule="auto"/>
        <w:ind w:firstLine="709"/>
        <w:jc w:val="center"/>
        <w:rPr>
          <w:rFonts w:ascii="Times New Roman" w:hAnsi="Times New Roman" w:cs="Times New Roman"/>
          <w:b/>
          <w:bCs/>
          <w:sz w:val="28"/>
          <w:szCs w:val="28"/>
          <w:lang w:val="uk-UA"/>
        </w:rPr>
      </w:pPr>
    </w:p>
    <w:p w14:paraId="78C607F6">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1.1. Сутність лексичного компонента мовлення</w:t>
      </w:r>
    </w:p>
    <w:p w14:paraId="6C751C5E">
      <w:pPr>
        <w:spacing w:line="360" w:lineRule="auto"/>
        <w:ind w:firstLine="709"/>
        <w:jc w:val="both"/>
        <w:rPr>
          <w:rFonts w:ascii="Times New Roman" w:hAnsi="Times New Roman" w:cs="Times New Roman"/>
          <w:sz w:val="28"/>
          <w:szCs w:val="28"/>
          <w:shd w:val="clear" w:color="auto" w:fill="FFFFFF"/>
          <w:lang w:val="uk-UA"/>
        </w:rPr>
      </w:pPr>
    </w:p>
    <w:p w14:paraId="4D8DF5A4">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Мовлення – це процес, під час якого людина використовує мову для комунікації з іншими особами. Мова виступає засобом спілкування між людьми. Лінгвісти М. А. Жовтобрюх та Б. М. Кулик вказують на те, що мова складається зі слів. Слово є основною одиницею мови, яка використовується для позначення різних явищ дійсності та психічного життя людини і зазвичай розуміється однаково колективом людей, що спілкуються між собою [50].</w:t>
      </w:r>
    </w:p>
    <w:p w14:paraId="309DD1C5">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О. О. Боженко вказує на те, що однією з найважливіших характеристик слів є їх називна функція. Слова відображають предмети, явища, ознаки та дії, які існують у реальному світі або уяві людини. Проте слово виражає не лише окремі об'єкти чи явища, але й узагальнює та виражає поняття, що представляють собою сукупність знань про певні предмети чи явища, накопичені людством [6, с. 110].</w:t>
      </w:r>
    </w:p>
    <w:p w14:paraId="374D4A06">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За визначенням, наданим у словнику-довіднику філолога «Основні лінгвістичні поняття та категорії», лексичне значення слова – це внутрішній зміст слова, який відображає зв’язок між звучанням слова та певним поняттям, почуттям або ідеєю. Це історично закріплена у свідомості людей співвіднесеність слова з певним явищем дійсності, що виражається через звуковий комплекс слова. Лексичне значення слова є результатом довгого еволюційного процесу формування мови та її використання в комунікації між людьми [30].</w:t>
      </w:r>
    </w:p>
    <w:p w14:paraId="3E5E209D">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Лексичний компонент мовлення є одним із ключових елементів мови, який визначає різноманітність та багатогранність виразності мовлення. Він включає в себе словниковий запас мови, тобто сукупність слів та виразів, які людина використовує для вираження своїх думок, почуттів, ідей та сприйняття світу навколо себе, як про це вказано у навчальному посібнику «Психологія мовлення і психолінгвістика» [37].</w:t>
      </w:r>
    </w:p>
    <w:p w14:paraId="30FA3D4F">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 Мацюк та Н. Станевич вказують на те, що лексика в мовленні виконує декілька важливих функцій [27]. По-перше, вона дозволяє називати об’єкти, явища, що нас оточують, та розуміти їхню природу і взаємозв’язки. Наприклад, за допомогою слів «сонце», «хмара», «дощ» ми можемо описувати погодні умови та їхні наслідки. По-друге, лексика відображає мислення та спосіб сприйняття світу. Вибір слів, їхні значення та вживання в мовленні відображають індивідуальність, культурні та особисті уподобання людини. Наприклад, одна й та ж ситуація може бути описана різними людьми за допомогою різних слів та виразів, залежно від їхнього досвіду та погляду.</w:t>
      </w:r>
    </w:p>
    <w:p w14:paraId="0725BC4A">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Крім того, лексика дозволяє виражати свої почуття, емоції та ставлення до подій та явищ. Через вибір конкретних слів та їхніх емоційних забарвлень люди можуть передати свої внутрішні переживання і враження. Наприклад, слова «радість», «смуток», «злість» відображають різні емоційні стани, які можуть супроводжувати наші думки та дії.</w:t>
      </w:r>
    </w:p>
    <w:p w14:paraId="17109C6C">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Отже, лексичний компонент мовлення є необхідною складовою кожної мови, яка визначає її різноманітність та ефективність виразності, що дозволяє нам не лише називати речі, але й виражати свої думки, почуття та емоції, роблячи мовлення більш точним, багатогранним та виразним. Особливо актуальним виступає дослідження лексичного компонента мовлення, починаючи з онтогенезу.</w:t>
      </w:r>
    </w:p>
    <w:p w14:paraId="0E95F73A">
      <w:pPr>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А. М. Богуш та Н. В. Гавриш у наукових працях вказують на те, що оволодіння значенням слова в процесі розвитку мовлення є складним процесом, який проходить через різні етапи, починаючи з самого дитинства. Спочатку дитина узагальнює найпростіші, базові значення слів, а з часом починає розуміти більш складні і абстрактні концепти. Важливо враховувати, що цей процес залежить від взаємодії психологічних, лінгвістичних та соціальних чинників [5].</w:t>
      </w:r>
    </w:p>
    <w:p w14:paraId="203A3B5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лінгвістиці розрізняють граматичне, лексичне та психологічне значення слова. Граматичне значення пов’язане з його граматичною функцією та місцем у реченні, лексичне – з його співвідношенням з поняттям та розміщенням у лексичній системі мови, а психологічне – це узагальнене відображення дійсності та діяльності людства в загальних поняттях, значеннях та навичках.</w:t>
      </w:r>
    </w:p>
    <w:p w14:paraId="6893625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процес розвитку словникового запасу у дитини – це динамічний шлях від освоєння базових концепцій до формування складних та абстрактних уявлень, який залежить від різних аспектів мовленнєвого, психологічного та соціокультурного середовища. </w:t>
      </w:r>
    </w:p>
    <w:p w14:paraId="7D6B4E4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Лексичне значення слова, як елемент загальномовної системи, є важливим компонентом мовленнєвого розвитку дитини. Враховуючи сучасні тенденції у суспільстві, особливу увагу приділяють періоду дошкільного віку, оскільки він визначає формування особистості та соціальну адаптацію малюка. Сучасне законодавство про освіту, а саме закони України «Про дошкільну освіту» [13], «Про охорону дитинства» [14], Державний стандарт дошкільної освіти [10] та Базовий компонент дошкільної о</w:t>
      </w:r>
      <w:bookmarkStart w:id="0" w:name="БКДО"/>
      <w:bookmarkEnd w:id="0"/>
      <w:r>
        <w:rPr>
          <w:rFonts w:ascii="Times New Roman" w:hAnsi="Times New Roman" w:cs="Times New Roman"/>
          <w:sz w:val="28"/>
          <w:szCs w:val="28"/>
          <w:lang w:val="uk-UA"/>
        </w:rPr>
        <w:t>світи  [3] встановлюють загальні принципи та правові основи функціонування дошкільної освіти та захисту прав дитинства; положення про логопедичні пункти системи освіти регулює організацію роботи логопедичних пунктів, які є важливим елементом при забезпеченні якісної реабілітації та навчання дітей із порушеннями мовлення [35].</w:t>
      </w:r>
    </w:p>
    <w:p w14:paraId="5FB5E86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лексичного компонента мовлення є невід’ємною частиною цього процесу. Розвиток словникового запасу дитини допомагає збагатити її інтелектуальний та культурний потенціал, робить комунікацію більш ефективною та різноманітною. Тому важливо створити сприятливі умови для вивчення та використання слів у дошкільному віці, щоб дитина могла вільно виражати свої думки, потреби та емоції.</w:t>
      </w:r>
    </w:p>
    <w:p w14:paraId="1921EEC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Початковий рівень освіти має важливе значення у формуванні особистості дитини, особливо в дошкільний період. Саме в цей час відбувається активне формування основ наукового світогляду, визначення методів навчальної діяльності та набуття навичок спілкування. Діти навчаються жити серед людей та розвиваються як особистості.</w:t>
      </w:r>
    </w:p>
    <w:p w14:paraId="1DF94A4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Згідно з поглядами К. Л. Крутій, саме в дошкільному віці відбувається основне становлення особистості. Процес формування людини в цей період відрізняється великою різноманітністю чинників, таких як вплив природного та соціального середовища, виховання у сім’ї та громадських установах, а також власна самоосвіта та спілкування. Цей процес повинен бути спрямованим на те, щоб кожна дитина мала можливість стати повноцінною, гармонійно розвиненою особистістю, з почуттям потреби бути людиною [</w:t>
      </w:r>
      <w:bookmarkStart w:id="1" w:name="_Hlk171644556"/>
      <w:r>
        <w:rPr>
          <w:rFonts w:ascii="Times New Roman" w:hAnsi="Times New Roman" w:cs="Times New Roman"/>
          <w:sz w:val="28"/>
          <w:szCs w:val="28"/>
          <w:lang w:val="uk-UA"/>
        </w:rPr>
        <w:t>23, с. 12</w:t>
      </w:r>
      <w:bookmarkEnd w:id="1"/>
      <w:r>
        <w:rPr>
          <w:rFonts w:ascii="Times New Roman" w:hAnsi="Times New Roman" w:cs="Times New Roman"/>
          <w:sz w:val="28"/>
          <w:szCs w:val="28"/>
          <w:lang w:val="uk-UA"/>
        </w:rPr>
        <w:t xml:space="preserve">]. </w:t>
      </w:r>
    </w:p>
    <w:p w14:paraId="33491F2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Зміни в дошкільній освіті України відображають останні досягнення психолого-педагогічних досліджень у сфері соціального розвитку дітей. Дослідження, проведені М. Ю. Коваленко під керівництвом О. М. Байєр, акцентують увагу на необхідності почати вирішувати проблеми, такі як труднощі у спілкуванні, ще на етапі раннього дитинства, коли формується фундамент оптимістичного світогляду. Особливо важливою є роль дошкільного віку у формуванні комунікативних навичок, що розвиваються насамперед через творчі ігри. Зменшення значення аматорської гри та перехід до дидактичних ігор може негативно вплинути на комунікативну активність дітей і затримати розвиток їх творчої ініціативи. Тому важливо зберігати й підтримувати творчий підхід до навчання через ігрові процеси, що сприяють активній участі дітей у спілкуванні та розвитку їх комунікативних здібностей [20, с. 34].</w:t>
      </w:r>
    </w:p>
    <w:p w14:paraId="29EB12E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Комунікативні здібності у дітей дошкільного віку багато в чому залежать від правильного розуміння лексичного та фонетичного значення слів, які дошкільнята використовують у повсякденному житті. Лексичне значення слова, на думку Р. В. Павелківа, відображає історично утверджені у свідомості людей зв’язки між словом і реальними об’єктами, поняттями, відчуттями або волевиявленнями. Це сполучення звуку з певним значенням, яке закріплене в мовній системі та розпізнається користувачем мови [31, с. 156]. </w:t>
      </w:r>
    </w:p>
    <w:p w14:paraId="0C5E97B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Лексичне значення є внутрішньою стороною слова, що відображає його семантичну сутність, відмежовуючи його від інших слів. Цитата «відоме відображення предмета, явища чи відношення у свідомості», яке визначається в контексті мовленнєвої системи і дозволяє сприймати слово як носія певного значення, або це значення слова та інформація яку воно несе» належить мовознавцю О. Потебні. Він у своїх працях детально розглядав сутність значення слова, акцентуючи на його ролі у відображенні думки та зв’язку зі свідомістю людини, яке визначається в контексті мовленнєвої системи і дозволяє сприймати слово як носія певного значення, або це значення слова та інформація яку воно несе [34].</w:t>
      </w:r>
    </w:p>
    <w:p w14:paraId="1EDF8D4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 лексичне значення слова виникає в результаті розумової діяльності людини, що включає порівняння, класифікацію, узагальнення та інші когнітивні процеси. Це внутрішнє значення або розуміння слова, яке відображає певний аспект реальності, такий як об’єкт, якість, дія або стан.</w:t>
      </w:r>
    </w:p>
    <w:p w14:paraId="4F00D3D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Засвоєння лексичної семантики дитиною є складним психологічним процесом, що відбувається поступово протягом раннього дитинства. Розвиток словника у дитини протягом перших років життя, на думку А. М. Богуш, ідентифікується конкретними кількісними показниками, які вказують на зростання обсягу лексичного запасу з часом. Наприклад, у віці чотирьох років дитина набуває значний обсяг слів, що дозволяє їй розуміти мовлення дорослих та висловлювати власні думки словами [4, с. 4]. </w:t>
      </w:r>
    </w:p>
    <w:p w14:paraId="7356525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Автори у навчальному посібнику «Дитина у сучасному соціопросторі» пишуть про те, що дитина виявляє зростаючий інтерес до розширення свого словникового запасу та розуміння нових слів. Вона вже не тільки використовує слова у специфічних ситуаціях, але також має здатність узагальнювати їх значення </w:t>
      </w:r>
      <w:r>
        <w:rPr>
          <w:rFonts w:ascii="Times New Roman" w:hAnsi="Times New Roman" w:cs="Times New Roman"/>
          <w:sz w:val="28"/>
          <w:szCs w:val="28"/>
          <w:lang w:val="pl-PL"/>
        </w:rPr>
        <w:t>[</w:t>
      </w:r>
      <w:r>
        <w:rPr>
          <w:rFonts w:ascii="Times New Roman" w:hAnsi="Times New Roman" w:cs="Times New Roman"/>
          <w:sz w:val="28"/>
          <w:szCs w:val="28"/>
          <w:lang w:val="uk-UA"/>
        </w:rPr>
        <w:t>12</w:t>
      </w:r>
      <w:r>
        <w:rPr>
          <w:rFonts w:ascii="Times New Roman" w:hAnsi="Times New Roman" w:cs="Times New Roman"/>
          <w:sz w:val="28"/>
          <w:szCs w:val="28"/>
          <w:lang w:val="pl-PL"/>
        </w:rPr>
        <w:t>]</w:t>
      </w:r>
      <w:r>
        <w:rPr>
          <w:rFonts w:ascii="Times New Roman" w:hAnsi="Times New Roman" w:cs="Times New Roman"/>
          <w:sz w:val="28"/>
          <w:szCs w:val="28"/>
          <w:lang w:val="uk-UA"/>
        </w:rPr>
        <w:t xml:space="preserve">. </w:t>
      </w:r>
    </w:p>
    <w:p w14:paraId="5735997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Наприклад, дитина може використовувати слово «квадрат» для всіх предметів з чотирма сторонами, незалежно від їх кольору, розміру чи матеріалу. Крім того, в цьому віці дитина вже може розрізняти та використовувати прикметники, які вказують на риси характеру людини. Вона розуміє, що ці якості можуть виявитися у різних ситуаціях спілкування. Наприклад, дитина може розуміти, що «зло» означає, що хтось заважає або обманює, тоді як «добро» означає, що хтось допомагає та хвалить. Загальною тенденцією на цьому етапі є активне прагнення дитини розширювати свій словниковий запас та збагачувати своє розуміння новими словами [12]. </w:t>
      </w:r>
    </w:p>
    <w:p w14:paraId="67C775F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Регулятивна функція у дитинстві є дуже важливою, оскільки допомагає дитині засвоювати соціальний досвід та встановлювати правила поведінки. Вже в маленькому віці діти можуть виконувати складні інструкції дорослих, які включають декілька дій, наприклад: «поклади ляльку і принеси чашку». </w:t>
      </w:r>
    </w:p>
    <w:p w14:paraId="00184DF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Дитина також може розуміти пояснення дорослих про те, як правильно виконувати різні дії, наприклад, як мити руки, як носити взуття або як розчісувати волосся. Це свідчить про те, що дошкільнята вже виявляють здатність до внутрішньої саморегуляції.</w:t>
      </w:r>
    </w:p>
    <w:p w14:paraId="7404DE6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Підпорядковане мовлення, яке є переходом між зовнішнім та внутрішнім, дозволяє дитині розуміти, що можливо, а що неможливо в дорослому світі. Це допомагає їм адаптуватися до соціальних норм та правил.</w:t>
      </w:r>
    </w:p>
    <w:p w14:paraId="036628E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Мовлення малюків формується під впливом оточуючого мовлення дорослих. Дитина починає використовувати мовні одиниці, які вона сприймає через слухове сприймання від дорослих. В. М. Синьов, М. П. Матвеева та О. П. Хохліна наводять у своїх дослідженнях дані стосовно того, що з другого по третій місяць життя, коли відбувається аґукання, дитина починає озвучувати звуки, які можуть бути нечіткими та розсіченими. Наприклад, вона може видавати звуки «а-ґу», «бу-у». Поступово, вона починає намагатися імітувати звуки, що чує, і вже вимовляє окремі слова, такі як «мама» або «баба», і подовжує їх, дублюючи: «мама-мама», «баба-баба». Отже, розвиток мовлення і словникового запасу в дитини визначається як слуховим сприйманням, так і сприйняттям та імітацією мовлення дорослих у їхньому оточенні. [40, с. 227]. </w:t>
      </w:r>
    </w:p>
    <w:p w14:paraId="31108A9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Другим чинником, який впливає на розвиток словникового запасу дитини, є засвоєння різних рівнів лексичних узагальнень. У мовленні дорослих і мовленні дитини значення слова може різнитися. На різних етапах розвитку мовлення слова у малюка мають різні значення та семантичну структуру.</w:t>
      </w:r>
    </w:p>
    <w:p w14:paraId="00E7EFA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дослідженнях Є. Ф. Соботович вказується на те, що розвиток мовлення дитини проходить кілька етапів, на яких слова набувають різну значущість. На одному етапі слова можуть мати чітко визначений предметний характер, а на іншому етапі вони можуть мати високодиференційований характер [41]. </w:t>
      </w:r>
    </w:p>
    <w:p w14:paraId="3DA9286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процесі розвитку мовлення значення слів дитини постійно розвиваються та змінюються. У працях Л. О. Калмикової з психолінгвістики вказується на те, що на початковому етапі розвитку мовлення дитина частіше спирається на ідеї, а не на конкретні поняття. Авторка вказує на те, що дитина повністю оволодіває значенням слова, так як цей процес є поступовим і триває протягом усього дитинства [16, с. 248]. </w:t>
      </w:r>
    </w:p>
    <w:p w14:paraId="2C5B6AD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процесі розвитку малюка, слова поступово змінюють своє значення та асоціації, що спочатку були з ними пов’язані. Л. Калмикова, Н. Харченко та І. Мисан відзначали, що повне розуміння слова як поняття дитина здобуває досить пізно. Це підтверджується тим, що значення слова для дитини розвивається разом з її мовленнєвими здібностями [17, с. 70].</w:t>
      </w:r>
    </w:p>
    <w:p w14:paraId="3C682D3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Третім чинником розвитку словникового запасу є оволодіння системою морфологічного словотворення. Протягом усього періоду розвитку мовлення дітей від двох до п’яти років відбувається засвоєння великої кількості слів, які відрізняються за морфологічною будовою. Дитина вивчає морфологічну форму слова та його безпосереднє значення, але ще не розуміє абстрактне значення. Вона опановує предмети, але ще не глибоко розуміє абстрактні поняття, які слова можуть відображати. </w:t>
      </w:r>
    </w:p>
    <w:p w14:paraId="2EC95E1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Наприкінці дошкільного віку дитина починає наближатися до засвоєння абстрактного значення слова. Цей період відзначається у дослідженнях Л. І. Трофименко як формуванням складних логічних мовленнєвих взаємозв’язків. Засвоєння системи морфологічного словотворення розпочинається вже з двох років. До чотирьох років діти, які розвиваються згідно з нормою зазвичай повністю оволодівають морфологічною системою рідної мови. </w:t>
      </w:r>
    </w:p>
    <w:p w14:paraId="0FE2807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Дослідники вказують на те, що у мовленні дитини з нормотиповим розвитком, перші похідні слова, зокрема слова із суфіксами зменшувального та пестливого звучання, а також перші форми числа в іменниках у називному та знахідному відмінках, з’являються приблизно від 1 року 9 місяців до 2 років [45]. </w:t>
      </w:r>
    </w:p>
    <w:p w14:paraId="4D8AE5A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програмі виховання дітей дошкільного віку «Малятко» вказується на те, що після двох років і 6 місяців  мовлення дитини активно розвивається, і вона починає творити власні слова, які не існують у мовленнєвих нормах, ці явища називають дитячими неологізмами. Ці нові слова можуть бути модифікаціями або адаптаціями слів, які вони почули від дорослих, або ж цілком унікальними та створеними самостійно. Це свідчить про пізнавальну активність дитини і її здатність до творчого використання мови для вираження нових ідей та концепцій. Такі дитячі неологізми пов'язані з орієнтацією на важливі морфологічні елементи мови та їх функціонування для позначення нових явищ у навколишньому середовищі [24, с. 14].</w:t>
      </w:r>
    </w:p>
    <w:p w14:paraId="0C22413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Четвертий аспект розвитку словникового запасу включає створення різноманітних типів семантичних зв’язків між словами. Дослідження Л. Є. Андрусишиної підкреслюють, що слова в мовленні дитини взаємодіють між собою через різні семантичні відношення, утворюючи складні семантичні поля. Процес розвитку мовлення призводить не лише до розширення словникового запасу дитини, але й до його систематизації та упорядкування. Слова, які мають схоже значення або вживаються в схожих контекстах, можуть об’єднуватися в семантичні групи [1].</w:t>
      </w:r>
    </w:p>
    <w:p w14:paraId="5A41AA4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Вивчення розвитку лексичної системи у маленьких дітей показує, що їхні слова часто організовані в групи на основі ситуаційного контексту. Наприклад, дитина може об’єднувати слова «помідор» і «ліжко», оскільки вона часто бачить помідори на ліжку. Дослідження формування лексико-семантичної системи у дітей, яке провела О. Гончарова під науковим керівництвом О. В. Константинів, описує чотири етапи розвитку системної організації дитячого словника, які відбуваються від 1 року і 4 місяців до 4 років [8].</w:t>
      </w:r>
    </w:p>
    <w:p w14:paraId="7BA2E5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вивчення словника важливо, щоб дорослий звертав увагу не лише на кількісні аспекти, але й на якісні характеристики, такі як недоліки, специфіка завдань та відповіді на запитання дитини. Це допомагає краще розуміти розвиток її лексикону.</w:t>
      </w:r>
    </w:p>
    <w:p w14:paraId="7410DD6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Якщо виникають труднощі у дитини з виконанням певних завдань або опитуванням, можна вжити низку заходів для полегшення процесу навчання та розвитку мовлення:</w:t>
      </w:r>
    </w:p>
    <w:p w14:paraId="684BDC7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повторення завдань кілька разів може допомогти дитині краще їх зрозуміти та запам’ятати;</w:t>
      </w:r>
    </w:p>
    <w:p w14:paraId="38CA2DC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завдання можна доповнити додатковими матеріалами, такими як ігри, розвивальні вправи або інші педагогічні засоби;</w:t>
      </w:r>
    </w:p>
    <w:p w14:paraId="33FF03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приділення більшого часу на вивчення теми та надання додаткової уваги може сприяти кращому розумінню матеріалу дитиною;</w:t>
      </w:r>
    </w:p>
    <w:p w14:paraId="0950B51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розширення тематичного спілкування може допомогти розширити словниковий запас дитини та покращити її розуміння нових тем.</w:t>
      </w:r>
    </w:p>
    <w:p w14:paraId="2F0380A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Згідно з висловлюванням Ю. В. Рібцун, розвиток мовлення визначається двома процесами: немовленнєвою предметною діяльністю дитини та мовленнєвою діяльністю дорослих. Тому важливо забезпечити якісне спілкування з дитиною, яке сприятиме розвитку її мовлення та збагаченню словника [38, с. 12].  </w:t>
      </w:r>
    </w:p>
    <w:p w14:paraId="1AAAC8C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 суспільне середовище, у якому зростає дитина, має значний вплив на розвиток її лексики та розуміння значень слів. Соціальний рівень сім'ї, рівень освіти батьків, доступність книг та іграшок, рівень мовленнєвого спілкування в родині – усе це впливає на процес засвоєння слів та розуміння мовленнєвого контексту.</w:t>
      </w:r>
    </w:p>
    <w:p w14:paraId="30FD3DB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Вікові норми словникового запасу дітей однакового віку можуть значно різнитися через соціальні умови. Діти, які мають кращі умови, часто володіють значно більшим словниковим запасом у порівнянні з тими, хто зростає у менш сприятливих умовах.</w:t>
      </w:r>
    </w:p>
    <w:p w14:paraId="7A62A6D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процесі онтогенезу, тобто індивідуального розвитку кожної дитини, значення слова поступово трансформується. Дослідження В. Медвєдєвої показують, що спочатку воно представляє собою узагальнення найпростіших форм, а з часом досягає більш складних рівнів узагальнення, завершуючи процес формування справжніх понять. Таким чином, соціальне середовище, яке охоплює рівень освіти, культурний контекст, мовленнєві звичаї та інші чинники, відіграє вирішальну роль у формуванні словникового запасу та розвитку мовлення дитини [29, с.53]. </w:t>
      </w:r>
    </w:p>
    <w:p w14:paraId="6291B3E6">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слова у різні вікові періоди розвитку дитини змінюється внаслідок поступового формування розуміння мовлення та його функцій. У ранньому дитинстві дитина спочатку освоює базовий компонент значення слова – зв’язок між ним і об'єктом або явищем, яке воно позначає (денотат), а також його означення. Наприклад, вона може сказати, що "на кріслі сидять". Поступово дитина розпочинає розуміти концептуальний аспект значення слова, який включає аналіз, порівняння та узагальнення. Наприклад, вона може пояснювати слово "крісло" як певний вид меблів.</w:t>
      </w:r>
    </w:p>
    <w:p w14:paraId="549833A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Ю. В. Рібцун розглядає розвиток мовлення дитини як процес, у якому вона усвідомлює контекстуальне значення слова і його взаємозв'язок з ситуацією. На початковому етапі цього процесу суб'єктивне сприйняття слова у контексті об'єктів або явищ піддавалося впливу різних факторів і ситуацій, таких як становище, рух, міміка тощо, що робило його значення менш чітким і розширеним. Однак з часом дитина здатна розрізняти основне значення слова від контекстуальних впливів і розуміти його точніше. Таким чином, розвиток розуміння значення слів пов'язаний із формуванням мовленнєвої діяльності дитини і охоплює послідовні етапи від конкретного визначення слова через його об'єкти до абстрактного розуміння в мовній системі [39]. </w:t>
      </w:r>
    </w:p>
    <w:p w14:paraId="5668A3F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початковому етапі вивчення мови дитина сприймає назву предмета як його частину або властивість, що відповідає його ідеї або функції. Цей етап розвитку значення слова, який Т. Машковська описує як "подвоєння теми", полягає у тому, що значення слова відображає спосіб закріплення ідеї про предмет у свідомості дитини </w:t>
      </w:r>
      <w:r>
        <w:rPr>
          <w:rFonts w:ascii="Times New Roman" w:hAnsi="Times New Roman" w:cs="Times New Roman"/>
          <w:sz w:val="28"/>
          <w:szCs w:val="28"/>
          <w:lang w:val="pl-PL"/>
        </w:rPr>
        <w:t>[</w:t>
      </w:r>
      <w:r>
        <w:rPr>
          <w:rFonts w:ascii="Times New Roman" w:hAnsi="Times New Roman" w:cs="Times New Roman"/>
          <w:sz w:val="28"/>
          <w:szCs w:val="28"/>
          <w:lang w:val="uk-UA"/>
        </w:rPr>
        <w:t>28</w:t>
      </w:r>
      <w:r>
        <w:rPr>
          <w:rFonts w:ascii="Times New Roman" w:hAnsi="Times New Roman" w:cs="Times New Roman"/>
          <w:sz w:val="28"/>
          <w:szCs w:val="28"/>
          <w:lang w:val="pl-PL"/>
        </w:rPr>
        <w:t>]</w:t>
      </w:r>
      <w:r>
        <w:rPr>
          <w:rFonts w:ascii="Times New Roman" w:hAnsi="Times New Roman" w:cs="Times New Roman"/>
          <w:sz w:val="28"/>
          <w:szCs w:val="28"/>
          <w:lang w:val="uk-UA"/>
        </w:rPr>
        <w:t xml:space="preserve">. </w:t>
      </w:r>
    </w:p>
    <w:p w14:paraId="1A18826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цей період дитина ще не може розглядати слово у великому понятті, як назву класу предметів, але сприймає його переважно як найменування певного предмета. Протягом розвитку розуміння слів, особливо у дітей від 1 до 2,5 років, можна спостерігати явища, такі як витіснене посилання або розширення поняття слова, а також надмірна генералізація. Це означає, що дитина може використовувати слово для назви не тільки конкретного предмета, але і ряду інших предметів, які мають спільні ознаки або асоціюються з вихідним предметом. Вона може називати не тільки однакові предмети, але й ті, які мають спільні характеристики чи виконують схожі функції [28]. </w:t>
      </w:r>
    </w:p>
    <w:p w14:paraId="693C3D2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 оцінці лексичного запасу дітей різного віку важливо враховувати не лише його обсяг, а й їхні словотворчі навички, рівень узагальнення, а також здатність користуватися синонімами, антонімами, спорідненими словами та виразами з переносним значенням. Дослідження Л. І. Трофименко підтверджують, що процес формування лексичного запасу у дітей дошкільного віку значною мірою залежить від їхніх словотворчих здібностей [49, с. 11].</w:t>
      </w:r>
    </w:p>
    <w:p w14:paraId="079B587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розглядаючи основні поняття та вивчаючи сутність лексичного компонента мовлення, можна говорити про те, що лексичний компонент є невід’ємною частиною комунікації, яка відіграє ключову роль у передачі значень та формуванні змісту висловлювань. Оволодіння лексичними одиницями мови дозволяє точніше виражати думки, що сприяє ефективнішому спілкуванню та кращому взаєморозумінню між людьми. Досліджуючи розвиток мовлення у дітей дошкільного віку, більшість авторів приходять до висновку про важливість лексичного компонента, так як саме він забезпечує основу для формування словникового запасу, який є критичним для розвитку мовленнєвих навичок. Розширення лексичного запасу сприяє покращенню когнітивних процесів, комунікативних здібностей та загального інтелектуального розвитку дитини, що в свою чергу є важливою умовою для її успішної соціалізації та навчання в подальшому.</w:t>
      </w:r>
    </w:p>
    <w:p w14:paraId="2B8961DF">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0364E99A">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1.2. Специфіка лексичного компонента мовлення у дітей з мовленнєвими труднощами</w:t>
      </w:r>
    </w:p>
    <w:p w14:paraId="7CAB08D0">
      <w:pPr>
        <w:spacing w:line="360" w:lineRule="auto"/>
        <w:ind w:firstLine="709"/>
        <w:jc w:val="both"/>
        <w:rPr>
          <w:rFonts w:ascii="Times New Roman" w:hAnsi="Times New Roman" w:cs="Times New Roman"/>
          <w:sz w:val="28"/>
          <w:szCs w:val="28"/>
          <w:lang w:val="uk-UA"/>
        </w:rPr>
      </w:pPr>
    </w:p>
    <w:p w14:paraId="31F84AF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Лексика грає важливу роль у мовленнєвому процесі, що допомагає нам називати, розуміти та передавати інформацію про предмети та явища. Граматична структура, в свою чергу, відображає систему взаємодії слів у фразах та реченнях, визначаючи їхні ролі та зв’язки.</w:t>
      </w:r>
    </w:p>
    <w:p w14:paraId="6053036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дітей з мовленнєвими труднощами формування лексичного компонента мовлення відбувається через спілкування з дорослими та взаємодію з реальними явищами навколишнього середовища. Однією з ключових ознак розвитку словникового запасу, за Н. Г. Пахомовою та І. В. Баранець, є здатність дитини розуміти спрямоване на неї мовлення та набуття достатньої кількості слів [32, с. 81].</w:t>
      </w:r>
    </w:p>
    <w:p w14:paraId="022E072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дітей із загальним недорозвитком мовлення спостерігаються порушення у формуванні лексичної системи та організації семантичних полів. Наприклад, процес виділення центру та периферії семантичного поля може значно уповільнюватись. У таких дітей спостерігається затримка у формуванні семантичних полів порівняно з нормативними показниками розвитку. </w:t>
      </w:r>
    </w:p>
    <w:p w14:paraId="3BEF54C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 В. Мартиненко вказує на те, що у віці 5-8 років діти з мовленнєвою патологією можуть демонструвати різке збільшення парадигматичного альянсу та значне зменшення синтагматичного, що відрізняється від типового розвитку у дітей без порушень мовлення. Ці особливості підкреслюють необхідність індивідуального підходу та використання спеціалізованих методів корекції у розвитку мовлення у дітей з мовленнєвими труднощами [25].</w:t>
      </w:r>
    </w:p>
    <w:p w14:paraId="713DBB2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своїх дослідженнях Є. Ф. Соботович досліджує специфіку лексичного компонента мовлення у дітей з мовленнєвими труднощами. Вона приходить до висновку, що розвиток лексичного компонента у таких дітей відрізняється та потребує застосування спеціальних методів корекційної роботи. Недостатній словниковий запас та труднощі у засвоєнні нових слів мають негативний вплив на загальний мовленнєвий розвиток, що підкреслює необхідність індивідуального підходу та використання спеціалізованих методик для подолання мовленнєвих труднощів і забезпечення гармонійного розвитку мовлення у дітей [43].</w:t>
      </w:r>
    </w:p>
    <w:p w14:paraId="46F52CF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Проблема розвитку лексичного аспекту мовлення у дітей з мовленнєвими труднощами вимагає уваги та застосування спеціалізованих методів корекції, які, за словами І. В. Горай, охоплюють розвиток спеціальних програм і підходів. Ці методики орієнтовані на активне використання мовленнєвих вправ, ігор, ситуативних завдань та інших методів, спрямованих на ефективне засвоєння слів та формування лексичних навичок у дітей із специфічними особливостями мовленнєвого розвитку [9, с. 12]. </w:t>
      </w:r>
    </w:p>
    <w:p w14:paraId="598AA61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Паралельно з розумінням мовлення, спрямованого на дитину, відбувається формування її особистого мовлення. Спочатку дитина використовує звукоімітації та слова, які вона вивчила через конкретні ситуації з мовлення дорослих, вказуючи лише на те, що є особливо близьким та доступним для її розуміння. Поступово в мовленні дитини з’являються загальні слова, що розширюють її словниковий запас.</w:t>
      </w:r>
    </w:p>
    <w:p w14:paraId="186F14C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з мовленнєвими труднощами різного походження часто мають обмежений словниковий запас. С. В. Кондукова та Н. В. Базима вказують на існування різних персональних особливостей, які значною мірою залежать від їхнього патогенезу, таких як рухові або сенсорні порушення, атаксія, афазія, дизартрія та інші. У цій групі дітей порушення розвитку словникового запасу проявляються у пізнішому формуванні лексичної системи та організації семантичних полів. Іншими словами, вони можуть мати певні труднощі у розумінні та використанні слів, а також у встановленні зв’язків між ними [22, с. 16]. </w:t>
      </w:r>
    </w:p>
    <w:p w14:paraId="3BED447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Однією з основних особливостей дітей із загальним недорозвитком мовлення є запізніле початкове формування мовлення, яке може бути недостатнім і не завжди граматично коректним. Ці діти можуть виявляти обмежену здатність до мовленнєвої активності, коли вони не можуть ефективно висловлювати свої думки або потреби. </w:t>
      </w:r>
    </w:p>
    <w:p w14:paraId="46F06C5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Їхнє виразне мовлення часто відстає від розуміння мовлення, що адресоване до них. Це, в свою чергу, може впливати на розвиток їх сенсорної, інтелектуальної та афективно-вольової сфер.</w:t>
      </w:r>
    </w:p>
    <w:p w14:paraId="357735F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 В. Кондукова та Н. В. Базима пишуть про те, що діти з мовленнєвими труднощами можуть мати проблеми з увагою та концентрацією, а також з обмеженим розподілом уваги. Їхня словесна пам’ять може бути обмеженою, що впливає на їхню здатність запам'ятовувати складні вказівки або послідовність завдань. Ці діти можуть відставати у розвитку словесного мислення та мати труднощі з аналізом, синтезом, порівнянням та узагальненням інформації. Враховуючи специфіку цих порушень, для успішного навчання та розвитку дітей з мовленнєвими труднощами потрібна спеціальна підготовка дошкільнят та індивідуальний підхід до них [22, с.19]. </w:t>
      </w:r>
    </w:p>
    <w:p w14:paraId="2EAAA2B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з мовленнєвими труднощами, на думку Ю. В. Коломієць, виявляють проблеми в руховому та мовленнєвому розвитку. Вони мають недостатню координацію рухів, повільність у виконанні вправ та навантажень, а також труднощі з розумінням інструкцій. У дошкільному віці діти з мовленнєвими труднощами демонструють відставання у формуванні мовлення, що проявляється у складнощах під час спілкування з оточуючими. Також вони мають недостатнє розуміння емоцій та вчинків інших людей [21]. </w:t>
      </w:r>
    </w:p>
    <w:p w14:paraId="482ADFD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Нерозвиненість лексичної частини мовлення у цих дітей впливає на їх здатність засвоювати інші аспекти мовної системи, такі як граматична структура та зв’язне мовлення. Вони часто роблять помилки, використовуючи неправильні слова або маючи труднощі з вибором слів. Такі діти можуть часто вживати словесні парафрази та мати обмежений словниковий запас. У дітей з мовленнєвими труднощами також спостерігається обмеженість словникового запасу, велика різниця між активною та пасивною лексикою, неточне використання слів та інші проблеми у мовленні. </w:t>
      </w:r>
    </w:p>
    <w:p w14:paraId="6CB9AFB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Згідно з В. В. Тищенко, молодші діти вивчають семантичну різноманітність слова, розуміючи різні типи лексичних значень та їх розрізнення. Головним критерієм їх оцінки є практичне засвоєння значення слова через розуміння його звичайних властивостей у різних сенсах. На цьому етапі вони накопичують семантичні значення одного слова з різних джерел, таких як мовлення інших людей, тексти казок та оповідань. Діти починають усвідомлювати лексичну систему, групуючи слова за різними семантичними категоріями або тематичними групами. Цей процес може включати створення смислових ланцюжків слів, які відносяться до конкретних категорій, наприклад, рослини, птахи, ягоди, а також групування слів за семантичною схожістю, наприклад, слова, що стосуються житла або засобів пересування [44]. </w:t>
      </w:r>
    </w:p>
    <w:p w14:paraId="0726278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Ці процеси сприяють розвитку логічних та понятійних зв'язків між словами, що має велике значення для формування лексичної системи. Важливу роль у цьому процесі відіграють асоціативні механізми, які є динамічними. </w:t>
      </w:r>
    </w:p>
    <w:p w14:paraId="3EBEB42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дошкільників мовленнєві альянси представляють собою понятійні та логічні зв'язки між словами. На цьому етапі діти ефективно вчаться формувати слова за аналогією. Вони можуть створювати нові слова, використовуючи мовленнєві шаблони, що відображають складні абстрактні концепції. Таким чином, вони здатні формувати слова, які виражають абстрактні поняття.</w:t>
      </w:r>
    </w:p>
    <w:p w14:paraId="1CE3B7B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Оцінка лексичної складової мовлення в дошкільному віці, згідно з програмою розвитку, навчання та виховання «Дитина в дошкільні роки», здійснюється через такі ключові аспекти: розвиток рівнів узагальнення слів, система морфологічного словотворення і лексична організація. Процес засвоєння узагальнених значень слова також показує, що дитина може використовувати слова для опису схожих якостей, станів або дій, навіть якщо вона не завжди може пояснити це значення [36]. </w:t>
      </w:r>
    </w:p>
    <w:p w14:paraId="2B572C5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деяких випадках діти з великими труднощами вибирають синоніми або антоніми до слів. Наприклад, їм може бути складно підібрати антоніми до прикметників, що описують внутрішній стан людини, таких як «лінивий», «сміливий», «сумний», або до іменників, які означають стан, процес чи дію, таких як «радість», «хвороба».</w:t>
      </w:r>
    </w:p>
    <w:p w14:paraId="361A966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також можуть мати труднощі з розумінням багатозначних слів, коли одне слово має як пряме, так і переносне значення. Вони можуть розуміти пряме значення слова, але важко розпізнати переносне значення без контексту. Наприклад, вони можуть розуміти фразу «золота осінь» буквально, як «осінь, в якій є золото», а не як образне вираження для опису осіннього листопаду.</w:t>
      </w:r>
    </w:p>
    <w:p w14:paraId="62B1CB1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Крім того, діти можуть неправильно розуміти деякі словосполучення через недостатній життєвий досвід або неправильне тлумачення. Наприклад, вони можуть неправильно сприймати вислів «золоті руки» як «чисті руки», або фразу «глибокий колодязь» - як «колодязь, який глибоко розташований», а не як колодязь, в якому вода знаходиться на глибині [36].</w:t>
      </w:r>
    </w:p>
    <w:p w14:paraId="0189A0C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думку І. М. Брушнівської, діти з порушеннями мовлення, які складають основну частину старших груп у закладах дошкільної освіти, зазвичай мають підвищений рівень мовленнєвих навичок у порівнянні з молодшими дітьми. Вони володіють базовою лексикою та можуть вживати прості фрази. Діти здатні називати предмети, дії та окремі ознаки в їх мовленні. Часто вони використовують займенники, сполучники та прості прийменники для вираження своїх думок [7]. </w:t>
      </w:r>
    </w:p>
    <w:p w14:paraId="22A292F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Вони можуть відповідати на запитання, пов’язані з малюнками, і розповідати про свою сім’ю та події у світі навколо них. Проте їхнє фразове мовлення часто характеризується дефіцитами у лексико-граматичному та фонетико-фонематичному розвитку. Тобто вони можуть мати проблеми з правильністю вживання слів та граматичних конструкцій, а також можуть мати недоліки у вимові та розрізненні звуків. </w:t>
      </w:r>
    </w:p>
    <w:p w14:paraId="3E1934C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дослідженнях І. С. Марченко виявлено, що у дітей старшого дошкільного віку з порушеннями мовлення спостерігається несформованість узагальненого лексичного значення для ряду груп слів. Це може негативно впливати на їхню здатність класифікувати слова за логічними категоріями, що базуються на визначенні загальної семантичної ознаки. Аналіз результатів дослідження стану лексичної сторони мовлення цих дітей показав, що вони недостатньо добре освоюють семантичну функцію слова, включаючи узагальнене лексичне значення, організацію слів у семантичні групи, лексичну систему та на цій основі концептуальні зв’язки. Діти зазнають значних труднощів у виборі синонімів та антонімів, особливо для слів, які потребують нового визначення. Їм простіше використовувати слова, до яких можна додати частинку «не» [26, с. 34]. </w:t>
      </w:r>
    </w:p>
    <w:p w14:paraId="1284607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дітей з порушеннями мовлення навіть за допомогою вихователя вибір антонімів до слів, які виражають якість чи властивість, стає складним завданням. Наприклад, дітям важко знайти антоніми до таких прикметників, як «теплий» чи «щасливий». Вони також мають труднощі у виборі антонімів до іменників, які вказують на стан, процес чи дію. Додатково, ці діти показують недостатнє розуміння багатозначних слів. Це означає, що вони можуть розуміти пряме значення слова поза контекстом, але мають труднощі із сприйняттям його переносного значення в контексті. </w:t>
      </w:r>
    </w:p>
    <w:p w14:paraId="3571919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Наприклад, слово «ключ» може мати як пряме значення (інструмент для відчинення дверей), так і переносне (засіб доступу або рішення). Нарешті, ці діти можуть правильно розуміти деякі словосполучення, але нерідко обмежують значення або неправильно вибирають якість предмета, яка відповідає слову в контексті. </w:t>
      </w:r>
    </w:p>
    <w:p w14:paraId="5CEF8D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Наприклад, вони можуть розуміти, що «лисички» можуть бути смачними або хитрими, але не завжди правильно розуміють переносне значення. Ці діти також мають труднощі у розумінні омонімів, тобто слів, які мають два і більше різних значень. Наприклад, вони можуть не розуміти, що «ключ» може вказувати як на інструмент, так і на засіб доступу. </w:t>
      </w:r>
    </w:p>
    <w:p w14:paraId="3FF2D81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дітей на початковому етапі вивчення абстрактних значень слів та їх концептуального співвідношення виникають значні труднощі, що, на думку Л. Калмикової та Г. Новікової, є індикатором розвитку кінцевої функції мовлення. Під час уроків у закладах дошкільної освіти різного типу діти отримують постійні тренування та систематичне викладання матеріалу. Більшість дітей успішно розподіляють картинки по групах, обґрунтовуючи свій вибір і називаючи головне слово або виділяючи головну ознаку предметів. Вони вміють правильно об’єднувати предмети у групи, хоча загальні слова можуть залишатися не визначеними [18, с. 103].</w:t>
      </w:r>
    </w:p>
    <w:p w14:paraId="2734BB1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В. Тищенко пише про те, що здатність дітей виділяти основні та найважливіші характеристики об’єктів, які стають основою для формування понять, свідчить про їхню здатність до аналізу та узагальнення. Однак словесні пояснення формованих груп предметів можуть мати різний рівень складності. Діти з високим рівнем розуміння можуть точно тлумачити основні характеристики об’єктів та називати узагальнюючі слова. Ті, у кого середній рівень узагальнення, можуть перераховувати характеристики та властивості предметів. На нижчому рівні розвитку діти можуть встановлювати асоціативні зв’язки між предметами однієї групи, але не завжди можуть пояснити ці зв'язки словами [44]. </w:t>
      </w:r>
    </w:p>
    <w:p w14:paraId="3C48C1C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з порушеннями мовлення виявляють особливості у словесному обґрунтуванні зв’язків між предметами, що проявляються у їхніх поясненнях. Наприклад, вони можуть аргументувати правильне об’єднання предметів у групи, зосереджуючись на їхній матеріальній основі. Однак такі пояснення часто вважаються неправильними через можливі логічні помилки (наприклад, «сонце кругле, а свічка схожа на паличку»). Це показує, що, незважаючи на правильний розвиток на невербальному рівні, словесне обґрунтування зв’язків може бути несформованим у деяких дітей.</w:t>
      </w:r>
    </w:p>
    <w:p w14:paraId="574467C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Згідно з В. В. Тищенко, результати вибору дитиною слів, які належать до однієї понятійної групи, можуть також свідчити про недостатню розробленість понятійних зв’язків між словами. Для оцінки цього аспекту дітям пропонується завершити групу слів з однаковим смисловим значенням, як відповідь на початкове слово. Ці слова вже добре відомі дітям і можуть описувати різні аспекти предметів, такі як колір, форма, розмір, смак, матеріал, спосіб руху, внутрішній стан тощо. Основною спільною ознакою, яка об’єднує ці поняття, є використання слів однієї видової групи [44, с. 112]. </w:t>
      </w:r>
    </w:p>
    <w:p w14:paraId="35572FF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Дошкільники, спробувавши продовжити низку слів за допомогою прикметників, часто намагаються вибрати антонім (наприклад, «смачний – бридкий»), проте неправильні відповіді можуть свідчити про їхнє нерозуміння значень слів та їхню належність до певних логічних груп. Це може бути зумовлене дитячими асоціаціями та різними критеріями, на яких базується дитина при групуванні слів (наприклад, «високий – низький»).</w:t>
      </w:r>
    </w:p>
    <w:p w14:paraId="27A6B05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виконанні завдань з групування семантично подібних слів, як про це пише Л. І. Трофименко, деякі діти можуть допускати багато помилок. Наприклад, у групі слів «ворона, жук, горобець» дитина може вважати слово «жук» зайвим, оскільки вважає, що він не літає, а повзає. У деяких випадках дошкільники можуть не виділяти загальної концептуальної ознаки, але класифікувати слова, виходячи зі спільності ситуації або функціонального значення, що є характерним для дітей молодшого віку. Відповіді дітей з порушеннями мовлення можуть відображати їхні нечіткі уявлення про родинні відносини та не точне розуміння значень деяких слів, наприклад, "короткі", "низькі", "бігучі", "квітучі" [</w:t>
      </w:r>
      <w:bookmarkStart w:id="2" w:name="_Hlk171648598"/>
      <w:r>
        <w:rPr>
          <w:rFonts w:ascii="Times New Roman" w:hAnsi="Times New Roman" w:cs="Times New Roman"/>
          <w:sz w:val="28"/>
          <w:szCs w:val="28"/>
          <w:lang w:val="uk-UA"/>
        </w:rPr>
        <w:t>47</w:t>
      </w:r>
      <w:bookmarkEnd w:id="2"/>
      <w:r>
        <w:rPr>
          <w:rFonts w:ascii="Times New Roman" w:hAnsi="Times New Roman" w:cs="Times New Roman"/>
          <w:sz w:val="28"/>
          <w:szCs w:val="28"/>
          <w:lang w:val="uk-UA"/>
        </w:rPr>
        <w:t xml:space="preserve">, с. 52]. </w:t>
      </w:r>
    </w:p>
    <w:p w14:paraId="254C53E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Важливо зрозуміти, що обмеження та особливості словникового запасу дитини не можуть бути єдиним показником недорозвинення мовлення. Розвиток лексики у дитини потрібно розглядати в контексті інших аспектів мовленнєвого розвитку, таких як фонетичний розвиток, синтаксичні навички, здатність до сприйняття та вираження мовленнєвого змісту.</w:t>
      </w:r>
    </w:p>
    <w:p w14:paraId="3C6B353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проведений теоретичний аналіз специфічних проявів лексичного компонента мовлення у дітей з мовленнєвими труднощами дає змогу зробити висновок про те, що ці діти потребують особливих підходів у навчанні та корекції мовлення. Виявлені особливості у формуванні та використанні лексичних одиниць вказують на необхідність розроблення і впровадження спеціальних методик, які будуть сприяти ефективному розвитку мовленнєвих навичок та покращенню комунікативних здібностей. Комплексний підхід до корекційної роботи може забезпечити більш гармонійний мовленнєвий розвиток і сприяти кращій адаптації дітей у соціальному середовищі.</w:t>
      </w:r>
    </w:p>
    <w:p w14:paraId="2E6388D6">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3E7EAA5D">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1.3. Аналіз програмових вимог щодо формування лексичного компонента мовлення у дітей старшого дошкільного віку </w:t>
      </w:r>
    </w:p>
    <w:p w14:paraId="3005E8CA">
      <w:pPr>
        <w:spacing w:line="360" w:lineRule="auto"/>
        <w:ind w:firstLine="709"/>
        <w:jc w:val="both"/>
        <w:rPr>
          <w:rFonts w:ascii="Times New Roman" w:hAnsi="Times New Roman" w:cs="Times New Roman"/>
          <w:sz w:val="28"/>
          <w:szCs w:val="28"/>
          <w:lang w:val="uk-UA"/>
        </w:rPr>
      </w:pPr>
    </w:p>
    <w:p w14:paraId="36A0721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Україна приділяє значну увагу розвитку освіти та соціальній підтримці дітей з мовленнєвими труднощами та іншими особливими освітніми потребами. Особлива увага приділяється не лише навчанню, а й розвитку особистості кожної дитини через творчу самореалізацію та створення умов для їхнього особистісного зростання. А. М. Аніщук вказує на те, що держава активно працює над забезпеченням повноцінного розвитку та інтеграції дітей із порушеннями мовлення та іншими особливими освітніми потребами у суспільство [2, с. 5]. </w:t>
      </w:r>
    </w:p>
    <w:p w14:paraId="2C24E42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Є. Ф. Соботович стверджує, що виявлення мовленнєвих порушень у дітей та вибір ефективних методів їх корекції є важливим завданням логопедії. Це особливо актуально в умовах постійного вдосконалення корекційного навчання у спеціальній дошкільній освіті. Авторка посилається на концепцію стандарту спеціальної освіти для дошкільнят з мовленнєвими порушеннями, яка визначає принципи та зміст корекційного навчання для цієї групи дітей. Цей підхід спрямований на розвиток усіх аспектів мовлення та підготовку дітей до подальшого навчання в школі [42]. </w:t>
      </w:r>
    </w:p>
    <w:p w14:paraId="00CCC47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Основні завдання концепції охоплюють корекцію провідного розладу мовлення, розвиток всіх аспектів мовлення та підготовку до навчання у школі. Ці завдання розроблені для різних форм навчальних закладів, до складу яких відносяться і заклади дошкільної освіти для дітей із мовленнєвими порушеннями. Важливою частиною концепції є визначення змісту корекційного навчання, який охоплює різні методи та підходи до розвитку мовлення дітей з порушеннями мовлення. Це може включати індивідуалізовані програми, групові заняття, роботу з батьками. </w:t>
      </w:r>
    </w:p>
    <w:p w14:paraId="5A2D27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Логопедична робота має базуватися на програмах навчання і виховання, спеціально розроблених для дошкільного віку, як для дітей з типовим розвитком, так і для дітей з порушеннями мовлення. Наприклад, важливо використовувати Програму розвитку, навчання та виховання «Дитина в дошкільні роки» від К. Крутій, яка надає цілісний підхід до розвитку дітей на цьому віковому етапі. Ця програма може бути використана як для масових дитячих садків, так і для спеціальних груп з корекційно-розвивальним навчанням [11]. </w:t>
      </w:r>
    </w:p>
    <w:p w14:paraId="7564E7A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Суттєвим доробком стала освітня програма «Дитина», розроблена авторським колективом вчених з Київського університету імені Бориса Грінченка [52]. Дана програма побудована на основі вимог державного стандарту дошкільної освіти [10] з урахуванням особливостей нової редакції та порад для організації освітнього процесу, представлених у базовому компоненті дошкільної освіти [3]. Особливістю освітньої програми «Дитина» є широкий спектр методик розвитку мовленнєвого компоненту, які враховують індивідуальні особливості дитини, її рівень знань та підготовленості, можливості оволодіння мовленнєвими вміннями. Запропонована авторським колективом програма може бути застосована для дітей віком від 2 до 6 років, які мають порушення мовлення.</w:t>
      </w:r>
    </w:p>
    <w:p w14:paraId="64F0AE6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w:t>
      </w:r>
      <w:r>
        <w:rPr>
          <w:lang w:val="uk-UA"/>
        </w:rPr>
        <w:t> </w:t>
      </w:r>
      <w:r>
        <w:rPr>
          <w:rFonts w:ascii="Times New Roman" w:hAnsi="Times New Roman" w:cs="Times New Roman"/>
          <w:sz w:val="28"/>
          <w:szCs w:val="28"/>
          <w:lang w:val="uk-UA"/>
        </w:rPr>
        <w:t xml:space="preserve">І. Кляп вказує на те, що для дітей з порушеннями мовлення застосовуються спеціальні програми, які враховують їхні індивідуальні потреби та можливості. Ці програми можуть бути стандартними або розробленими індивідуально та спрямовані на поліпшення мовленнєвого розвитку, вирішення проблем та підготовку до подальшого навчання [19]. </w:t>
      </w:r>
    </w:p>
    <w:p w14:paraId="6E390BF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Другий аспект мовлення відображає систему складних взаємозв'язків між предметами, явищами, їхніми характеристиками, діями та властивостями. Цей аспект розвивається через морфологічну систему словотворення, усвідомлення дитиною граматичних нюансів (таких як число, рід, час, відмінок) та формування синтаксичної структури мовлення.</w:t>
      </w:r>
    </w:p>
    <w:p w14:paraId="73B7ED0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підвищення рівня розвитку лексичної та граматичної складових мовлення використовуються різноманітні навчальні ігри, ігрові вправи та завдання. Вони є структурно доступними й динамічними, а також образними й емоційно насиченими, наприклад, теми про пори року, місяці, національні свята, овочі, фрукти та домашніх тварин. </w:t>
      </w:r>
    </w:p>
    <w:p w14:paraId="7265B62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Заняття плануються на основі чітко визначеної теми та цілей, з акцентом на конкретну лексику, яку діти мають освоїти для активного мовлення. Граматичний матеріал добирається з урахуванням етапу корекційного навчання та поступового збільшення складності. Заняття включають різноманітні ігрові та навчальні вправи для розвитку мислення, складних форм сприймання та уяви.</w:t>
      </w:r>
    </w:p>
    <w:p w14:paraId="59D47C6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Пропоновані лексичний і граматичний напрями для розвитку мовлення у дітей старшого дошкільного віку із затримками мовленнєвого розвитку III рівня, на думку М. І.</w:t>
      </w:r>
      <w:r>
        <w:rPr>
          <w:rFonts w:ascii="Times New Roman" w:hAnsi="Times New Roman" w:cs="Times New Roman"/>
          <w:sz w:val="28"/>
          <w:szCs w:val="28"/>
        </w:rPr>
        <w:t> </w:t>
      </w:r>
      <w:r>
        <w:rPr>
          <w:rFonts w:ascii="Times New Roman" w:hAnsi="Times New Roman" w:cs="Times New Roman"/>
          <w:sz w:val="28"/>
          <w:szCs w:val="28"/>
          <w:lang w:val="uk-UA"/>
        </w:rPr>
        <w:t xml:space="preserve">Кляп, можуть значно підвищити ефективність корекційно-розвивального впливу на цю групу дітей. За допомогою лексичного напряму можна вдосконалити словниковий запас дітей, включаючи в нього нові слова, що стосуються їхніх поточних інтересів та досвіду. Це може відбуватися через використання різноманітних ігор, завдань та вправ, спрямованих на активне використання нових слів у мовленні. Граматичний напрям дозволить удосконалити граматичні навички дітей, включаючи розуміння та використання складних граматичних структур. Завдання та вправи можуть бути спрямовані на вивчення правильної будови речень, використання часових форм, узгодження частин мовлення. Загальна мета цих напрямів полягає у підвищенні якості мовлення дітей, розвитку їхніх комунікативних навичок та покращенні їхньої здатності ефективно спілкуватися з оточуючими. Застосування цих напрямів у корекційно-розвивальній роботі може значно покращити мовленнєві здібності дітей старшого дошкільного віку із ЗНМ III рівня [19]. </w:t>
      </w:r>
    </w:p>
    <w:p w14:paraId="27B0935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В. М. Ільяної спрямовані на розробку програм та методик для покращення мовленнєвих навичок у дітей зі зниженим рівнем мовленнєвого розвитку. Ці програми, створені на основі наукових досліджень, приділяють увагу індивідуальним особливостям та потребам кожної дитини. Вони включають комплексний підхід до розвитку мовлення та готують дітей до навчання грамоти та інших аспектів мовленнєвої діяльності. Такі програми сприяють покращенню комунікативних навичок у дітей та сприяють їхньому успішному адаптуванню в суспільстві [15, с. 57].</w:t>
      </w:r>
    </w:p>
    <w:p w14:paraId="4644B76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Програмно-методичні комплекси для дітей з мовленнєвими порушеннями розроблені відповідно до вимог Базового компонента дошкільної освіти та чинних програм розвитку, виховання і навчання дітей дошкільного віку. Вони ґрунтуються на психолінгвістичному та діяльнісному підходах і містять як загальноосвітні, так і корекційно-розвивальні завдання з розвитку мовленнєвої діяльності дітей з фонетико-фонематичним (ФФНМ) та загальним недорозвитком мовлення. Програми для навчання і виховання дітей із загальним недорозвитком мовлення, на жаль, часто акцентують увагу на розвитку фонетико-фонематичних аспектів мовлення, і лише деякі з них враховують лексико-граматичні аспекти мовлення. </w:t>
      </w:r>
    </w:p>
    <w:p w14:paraId="01CDD90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Розглянемо детальніше дві з цих програм: програмно-методичний комплекс «Корекційне навчання з розвитку мовлення дітей середнього дошкільного віку із загальним недорозвитком мовлення» та «Корекційне навчання з розвитку мовлення дітей старшого дошкільного віку із загальним недорозвитком мовлення», створені Л. І. Трофименко. Ці комплекси призначені для дітей середнього і старшого дошкільного віку, у яких є загальний недорозвиток мовлення. Вони включають різноманітні завдання та вправи, спрямовані на корекцію мовленнєвих порушень. Програми розроблені з урахуванням особливостей цього вікового періоду та психологічних особливостей дітей з мовленнєвими проблемами. Основний акцент зроблено на розвиток мовленнєвої компетентності та формування необхідних лексичних і граматичних навичок [46, 48]. </w:t>
      </w:r>
    </w:p>
    <w:p w14:paraId="4839DE0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Програмно-методичний комплекс розроблено з метою корекції та попередження порушень мовленнєвого розвитку у дітей старшого дошкільного віку із загальним недорозвитком мовлення на рівнях III-IV. Він містить детальний зміст та методику логопедичних занять, спрямованих на вирішення цих проблем. Дана програма базується на наукових дослідженнях та методичних рекомендаціях і є науково-методичною основою організації корекційно-розвивального навчання дітей із мовленнєвими порушеннями.</w:t>
      </w:r>
    </w:p>
    <w:p w14:paraId="00DB99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Основна увага в програмі приділяється розвитку лексико-граматичної сторони мовлення. Логопедичні заняття спрямовані на покращення лексичного запасу, формування граматичних навичок та вмінь, а також на розвиток мовленнєвої компетентності дітей.</w:t>
      </w:r>
    </w:p>
    <w:p w14:paraId="59AD2CA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Цей комплекс дозволяє логопедам і педагогам гнучко підходити до організації корекційної роботи, враховуючи індивідуальні потреби кожної дитини. Він надає методичні рекомендації та інструменти для ефективної роботи з дітьми із ЗНМ, сприяючи їхньому повноцінному мовленнєвому розвитку в умовах закладу дошкільної освіти [46]. </w:t>
      </w:r>
    </w:p>
    <w:p w14:paraId="5E5F1F0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Програмно-методичний комплекс призначений для формування лексико-граматичної сторони мовлення дітей середнього дошкільного віку зі значними недоліками мовлення на рівнях ІІ-ІІІ. Він розроблений з урахуванням специфіки навчання та розвитку дітей із порушеннями мовлення і призначений для використання вчителями-логопедами в дошкільних навчальних закладах компенсуючого типу. Цей комплекс допомагає забезпечити систематичну та комплексну роботу з розвитку мовлення у дітей із ЗНМ, спрямовану на досягнення оптимальних результатів у процесі навчання [48]. </w:t>
      </w:r>
    </w:p>
    <w:p w14:paraId="17E48A8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Програма «Корекційне навчання з розвитку мовлення дітей старшого дошкільного віку із ЗНМ ІІ-ІІІ рівня» Л. Трофименко ретельно розроблена для формування та розвитку різних аспектів мовлення у дітей із середніми і високими рівнями порушень мовлення. Застосування цієї програми дає змогу сформувати лексичний компонент та сприяє збагаченню словникового запасу дітей, включаючи активне використання та розуміння різноманітних слів; спрямоване на навчання правильної будови речень, використання часових форм, різноманітних граматичних конструкцій; розвиток навичок спонтанного та послідовного висловлювання думок та ідей, здатність до планування та організації мовлення. Окремою перевагою цієї програми є можливість формування у дітей дошкільного віку фонетико-фонематичної складової мовлення; корекції вимови звуків, розвиток фонематичного слуху, покращення артикуляції та вимови звуків і словосполучень. Отже, ця програма надає цілісний підхід до розвитку мовлення у дітей з порушеннями мовлення, щоб забезпечити їм оптимальні умови для успішного навчання та комунікації [48].</w:t>
      </w:r>
    </w:p>
    <w:p w14:paraId="527F3E4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Аналізуючи програму «Корекційне навчання з розвитку мовлення дітей старшого дошкільного віку із ЗНМ IІ-III рівня» Л. Трофименко щодо формування лексичної складової мовлення, можна виділити кілька ключових аспектів:</w:t>
      </w:r>
    </w:p>
    <w:p w14:paraId="3997019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1.Формування різних рівнів лексичних узагальнень. Програма передбачає поетапне оволодіння дитиною різноманітною лексичною семантикою. Цей процес сприяє розвитку пізнавальної діяльності та мислення дитини, оскільки забезпечує усвідомлення різних аспектів предметів і явищ.</w:t>
      </w:r>
    </w:p>
    <w:p w14:paraId="7DD2700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Формування активного словникового запасу. Діти оволодівають новими словами та вчаться використовувати їх у мовленні, що сприяє розвитку мовленнєвої експресії та збагаченню їхнього мовленнєвого репертуару. Робота з антонімами, синонімами та багатозначними словами розширює розуміння мовлення і розвиває мовленнєву компетентність.</w:t>
      </w:r>
    </w:p>
    <w:p w14:paraId="75A7DEB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Розвиток системності у межах лексичної тематики. Програма сприяє структурованому вивченню слів у межах конкретних тем, що сприяє кращому засвоєнню та організації лексичного матеріалу. Це допомагає дітям краще усвідомлювати та використовувати слова в мовленні.</w:t>
      </w:r>
    </w:p>
    <w:p w14:paraId="1D597E3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лексичної системності охоплює кілька основних напрямів:</w:t>
      </w:r>
    </w:p>
    <w:p w14:paraId="73B8B80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Формування синтагматичного типу зв’язків слів. Цей напрям передбачає включення слів у синтагми різних рівнів, таких як словосполучення, речення та текст. Дитина вчиться об'єднувати слова у логічні синтаксичні конструкції, що допомагає їй краще розуміти структуру мовлення та правила його побудови.</w:t>
      </w:r>
    </w:p>
    <w:p w14:paraId="6906D21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Формування парадигматичних зв’язків слів. На цьому етапі діти навчаються визначати подібність між словами та групувати їх за різними ознаками. Це може включати організацію слів за сенсорними ознаками, внутрішніми якостями, функціональним використанням тощо. Такий підхід допомагає дітям створювати систему асоціацій та розуміти взаємозв'язки між словами.</w:t>
      </w:r>
    </w:p>
    <w:p w14:paraId="6AB4111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Формування семантичних зв’язків. Цей напрям включає виконання завдань, спрямованих на розвиток різних типів семантичних зв'язків. Діти виконують завдання на основі асоціативного експерименту, що допомагає їм відпрацювати різні типи семантичних зв’язків. Такий підхід стимулює розвиток мовленнєвої компетенції та активізує мовленнєву активність у дітей.</w:t>
      </w:r>
    </w:p>
    <w:p w14:paraId="62C90C9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Ці напрями сприяють системному та комплексному розвитку лексичної системи мовлення дітей, надаючи їм необхідні знання та навички для успішної комунікації та вивчення мови [48]. </w:t>
      </w:r>
    </w:p>
    <w:p w14:paraId="1141BC1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граматичної складової мовлення у дітей старшого дошкільного віку відіграє важливу роль у їхньому розвитку. Ця складова відображає систему граматичних правил та конструкцій, які дозволяють дитині правильно виражати свої думки та розуміти інші.</w:t>
      </w:r>
    </w:p>
    <w:p w14:paraId="7E6A334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дітей із загальним недорозвитком мовлення виникають особливі труднощі у формуванні граматичних навичок, що можуть продовжуватися у молодшому шкільному віці. У зв’язку з цим, важливо використовувати спеціально розроблені програми, які забезпечують комплексний підхід до формування граматичної складової мовлення.</w:t>
      </w:r>
    </w:p>
    <w:p w14:paraId="4AB9A01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Одним із ключових аспектів є організація системи продуктивних словотворчих моделей. Це включає в себе роботу над морфологічними структурами слів, формуванням різних типів морфологічних значень та розвитком морфологічного аналізу. Крім того, утворення слів за аналогією та класифікація похідних слів за значенням сприяють розвитку граматичних навичок у дітей.</w:t>
      </w:r>
    </w:p>
    <w:p w14:paraId="33D1441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успішної реалізації цих напрямів використовується спеціальний алгоритм, який призначений для створення розумових дій та операцій з мовними знаками. Цей алгоритм спеціально пристосований для роботи з дітьми дошкільного віку з мовленнєвими недоліками і включає такі етапи, як розуміння спільного значення похідних слів, встановлення загального звучання словотворчих афіксів та формування слів за аналогією.</w:t>
      </w:r>
    </w:p>
    <w:p w14:paraId="654FABC3">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формування лексичної складової мовлення у дітей дошкільного віку із ЗНМ є складним, але можливим завданням за умови використання спеціально розроблених програм та алгоритмів, які враховують їхні потреби та можливості. Це сприятиме їхньому успішному вступу до навчання в школі та подальшому розвитку мовленнєвих здібностей [48]. </w:t>
      </w:r>
    </w:p>
    <w:p w14:paraId="20C7775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лексико-граматичної складової мовлення у дітей старшого дошкільного віку за Програмою Л. І. Трофименко включає комплексну роботу зі словом, реченням та зв'язним мовленням. Праця зі словом спрямована на розширення словника дитини, необхідного для повноцінного спілкування. Діти ознайомлюються з оточуючим середовищем, суспільними явищами і навчаються розрізняти подібні предмети за суттєвими ознаками. Важливою складовою є розуміння значення слів та їх правильне вживання у мовленні, включаючи службові частини мови.</w:t>
      </w:r>
    </w:p>
    <w:p w14:paraId="78A31D0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роботі над реченням в програмі Л. І. Трофименко діти займаються складанням простих непоширених речень та визначають слова, що позначають предмети та дії. Вони знайомляться з граматичними ознаками числа в іменниках і дієсловах, навчаються складати прості поширені речення та розуміти просторові відношення, такі як напрям руху та переміщення предметів.</w:t>
      </w:r>
    </w:p>
    <w:p w14:paraId="0426007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процесі розвитку зв’язного мовлення діти вивчають як складати речення зі сполученнями, що позначають часові відношення, та правильно використовувати питання, що стосуються часу дії. Також важливо, щоб діти вміли встановлювати зв'язок у реченні з питаннями, що сприяє їхньому розумінню синтаксичної структури мовлення..</w:t>
      </w:r>
    </w:p>
    <w:p w14:paraId="199DFBD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за допомогою Програми Л. І. Трофименко діти із ЗНМ отримують систематичні заняття, спрямовані на розвиток їхнього лексико-граматичного мовлення, що сприяє їхньому успішному вступу до навчання в школі та подальшому розвитку мовленнєвих навичок [48]. </w:t>
      </w:r>
      <w:r>
        <w:rPr>
          <w:rFonts w:ascii="Times New Roman" w:hAnsi="Times New Roman" w:cs="Times New Roman"/>
          <w:sz w:val="28"/>
          <w:szCs w:val="28"/>
          <w:lang w:val="uk-UA"/>
        </w:rPr>
        <w:tab/>
      </w:r>
    </w:p>
    <w:p w14:paraId="4CD9F80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Навчально-методичний посібник «Перспективне планування корекційно-розвиткової роботи з дошкільниками із ЗНМ І рівня», авторами якого є Н. Петренко та А. Погосян [33], є важливим інструментом для організації корекційної роботи з розвитку мовлення дітей дошкільного віку, які мають загальний недорозвиток мовлення на І рівні. Цей посібник пропонує систему, спрямовану на вчителів-логопедів закладів дошкільної освіти, і може бути корисним для вихователів загальноосвітніх та дошкільних закладів компенсуючого типу, де працюють з дітьми із серйозними порушеннями мовлення. </w:t>
      </w:r>
    </w:p>
    <w:p w14:paraId="50C47D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Головна мета цього посібника – створення ефективної програми корекційної роботи, що базується на аналізі структури мовленнєвих порушень кожної дитини та її збережених і компенсаторних можливостей. Послідовність роботи над лексико-граматичною складовою мовлення визначається відповідно до індивідуальних потреб та можливостей кожної дитини. Посібник передбачає поступове ускладнення навчального матеріалу та методичних прийомів на кожному етапі роботи, з обов'язковим врахуванням того, що дитина вже володіє або має попередні навички мовлення. Це дозволяє ефективно адаптувати програму до потреб кожної дитини та створює оптимальні умови для її розвитку. Такий підхід дозволяє максимально враховувати індивідуальні особливості кожної дитини та створює сприятливі умови для її успішного розвитку мовлення.</w:t>
      </w:r>
    </w:p>
    <w:p w14:paraId="79781E4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аналіз програмових вимог щодо розвитку лексичного компонента мовлення у дітей старшого дошкільного віку дає змогу дійти висновку про наявність широкого спектру спеціальних програм та відповідних навчально-методичних матеріалів. Ці програми спрямовані на поетапне оволодіння різноманітною лексичною семантикою, активне збагачення словникового запасу, розвиток системності в рамках лексичних тем, а також формування семантичних, синтагматичних та парадигматичних зв’язків між словами.</w:t>
      </w:r>
    </w:p>
    <w:p w14:paraId="1A1D307A">
      <w:pPr>
        <w:spacing w:line="360" w:lineRule="auto"/>
        <w:rPr>
          <w:rFonts w:ascii="Times New Roman" w:hAnsi="Times New Roman" w:cs="Times New Roman"/>
          <w:b/>
          <w:bCs/>
          <w:sz w:val="28"/>
          <w:szCs w:val="28"/>
          <w:lang w:val="uk-UA"/>
        </w:rPr>
      </w:pPr>
    </w:p>
    <w:p w14:paraId="482410C5">
      <w:pPr>
        <w:spacing w:line="360" w:lineRule="auto"/>
        <w:ind w:firstLine="709"/>
        <w:rPr>
          <w:rFonts w:ascii="Times New Roman" w:hAnsi="Times New Roman" w:cs="Times New Roman"/>
          <w:b/>
          <w:bCs/>
          <w:sz w:val="28"/>
          <w:szCs w:val="28"/>
          <w:lang w:val="uk-UA"/>
        </w:rPr>
      </w:pPr>
      <w:r>
        <w:rPr>
          <w:rFonts w:ascii="Times New Roman" w:hAnsi="Times New Roman" w:cs="Times New Roman"/>
          <w:b/>
          <w:bCs/>
          <w:sz w:val="28"/>
          <w:szCs w:val="28"/>
          <w:lang w:val="uk-UA"/>
        </w:rPr>
        <w:t>Висновки до першого розділу</w:t>
      </w:r>
    </w:p>
    <w:p w14:paraId="298D37F5">
      <w:pPr>
        <w:spacing w:line="360" w:lineRule="auto"/>
        <w:ind w:firstLine="709"/>
        <w:jc w:val="both"/>
        <w:rPr>
          <w:rFonts w:ascii="Times New Roman" w:hAnsi="Times New Roman" w:cs="Times New Roman"/>
          <w:sz w:val="28"/>
          <w:szCs w:val="28"/>
          <w:lang w:val="uk-UA"/>
        </w:rPr>
      </w:pPr>
    </w:p>
    <w:p w14:paraId="2A53210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Тема формування лексичного компонента мовлення у дітей дошкільного віку з мовленнєвими труднощами належить до актуальних проблем сучасної педагогічної науки. У нашій роботі розглянуто теоретичні аспекти цієї проблеми та шляхи її вирішення.</w:t>
      </w:r>
    </w:p>
    <w:p w14:paraId="4564D7B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w:t>
      </w:r>
      <w:r>
        <w:rPr>
          <w:rFonts w:ascii="Times New Roman" w:hAnsi="Times New Roman" w:cs="Times New Roman"/>
          <w:sz w:val="28"/>
          <w:szCs w:val="28"/>
          <w:lang w:val="pl-PL"/>
        </w:rPr>
        <w:t>’</w:t>
      </w:r>
      <w:r>
        <w:rPr>
          <w:rFonts w:ascii="Times New Roman" w:hAnsi="Times New Roman" w:cs="Times New Roman"/>
          <w:sz w:val="28"/>
          <w:szCs w:val="28"/>
          <w:lang w:val="uk-UA"/>
        </w:rPr>
        <w:t xml:space="preserve">ясовано, що лексичний компонент мовлення дитини відіграє ключову роль у її комунікації з навколишнім світом. Саме через слова дитина виражає свої думки, почуття та потреби. Однак у дітей з мовленнєвими труднощами цей процес може бути ускладнений. </w:t>
      </w:r>
    </w:p>
    <w:p w14:paraId="120D16A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Виявлено, що становлення лексичного компонента мовлення у дітей проходить кілька етапів. Від перших спроб вживання слів до формування значного словника. Для дітей з мовленнєвими труднощами цей процес може бути більш тривалим і складним.</w:t>
      </w:r>
    </w:p>
    <w:p w14:paraId="77ED0BC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Визначена необхідність врахування специфіки мовленнєвого розвитку у дітей з мовленнєвими порушеннями. Вони можуть мати обмежений запас слів або виявляти труднощі у їх коректному вживанні. Тому для ефективного формування лексичного компонента у таких дітей важливо застосовувати індивідуальний підхід та спеціальні методи корекції.</w:t>
      </w:r>
    </w:p>
    <w:p w14:paraId="21736A7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 програмових вимог щодо формування лексичного компонента мовлення у дітей старшого дошкільного віку свідчить про потребу урахування особливостей кожної дитини. Важливо створювати сприятливі умови для розвитку мовлення, де дитина може активно взаємодіяти з оточуючими та вільно використовувати слова для вираження своїх думок.</w:t>
      </w:r>
    </w:p>
    <w:p w14:paraId="4BF2852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ефективне формування лексичного компонента мовлення у дітей дошкільного віку з мовленнєвими труднощами потребує комплексного підходу, урахування їхніх індивідуальних особливостей та застосування спеціальних методів корекції. Важливо створювати сприятливу атмосферу для розвитку мовлення, де дитина почувається впевнено і може ефективно використовувати свій мовленнєвий потенціал.</w:t>
      </w:r>
    </w:p>
    <w:p w14:paraId="62BE58D8">
      <w:pPr>
        <w:spacing w:line="36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Вирішення проблем у розвитку мовлення у дошкільників залежить від вмілого поєднання традиційних та інноваційних методів педагогічної практики, що спрямовані на стимулювання комунікативної активності та розвиток лексичного компонента мовлення.</w:t>
      </w:r>
    </w:p>
    <w:p w14:paraId="02363FE4">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РОЗДІЛ 2.</w:t>
      </w:r>
    </w:p>
    <w:p w14:paraId="33F54872">
      <w:pPr>
        <w:spacing w:line="360" w:lineRule="auto"/>
        <w:jc w:val="center"/>
        <w:rPr>
          <w:rFonts w:ascii="Times New Roman" w:hAnsi="Times New Roman" w:cs="Times New Roman"/>
          <w:sz w:val="28"/>
          <w:szCs w:val="28"/>
          <w:lang w:val="uk-UA"/>
        </w:rPr>
      </w:pPr>
      <w:r>
        <w:rPr>
          <w:rFonts w:ascii="Times New Roman" w:hAnsi="Times New Roman" w:cs="Times New Roman"/>
          <w:b/>
          <w:bCs/>
          <w:sz w:val="28"/>
          <w:szCs w:val="28"/>
          <w:lang w:val="uk-UA"/>
        </w:rPr>
        <w:t>СТАН СФОРМОВАНОСТІ ЛЕКСИЧНОГО КОМПОНЕНТА  МОВЛЕННЯ У ДІТЕЙ ДОШКІЛЬНОГО ВІКУ З МОВЛЕННЄВИМИ ТРУДНОЩАМИ</w:t>
      </w:r>
    </w:p>
    <w:p w14:paraId="4923B318">
      <w:pPr>
        <w:spacing w:line="360" w:lineRule="auto"/>
        <w:ind w:firstLine="709"/>
        <w:jc w:val="both"/>
        <w:rPr>
          <w:rFonts w:ascii="Times New Roman" w:hAnsi="Times New Roman" w:cs="Times New Roman"/>
          <w:sz w:val="28"/>
          <w:szCs w:val="28"/>
          <w:lang w:val="uk-UA"/>
        </w:rPr>
      </w:pPr>
    </w:p>
    <w:p w14:paraId="650FFE1C">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2.1 Методика дослідження стану сформованості лексичного компонента мовлення у дітей дошкільного віку з мовленнєвими труднощами </w:t>
      </w:r>
    </w:p>
    <w:p w14:paraId="0B731AC4">
      <w:pPr>
        <w:spacing w:line="360" w:lineRule="auto"/>
        <w:ind w:firstLine="709"/>
        <w:jc w:val="both"/>
        <w:rPr>
          <w:rFonts w:ascii="Times New Roman" w:hAnsi="Times New Roman" w:cs="Times New Roman"/>
          <w:sz w:val="28"/>
          <w:szCs w:val="28"/>
          <w:lang w:val="uk-UA"/>
        </w:rPr>
      </w:pPr>
    </w:p>
    <w:p w14:paraId="41EB52B4">
      <w:pPr>
        <w:spacing w:line="360" w:lineRule="auto"/>
        <w:ind w:firstLine="709"/>
        <w:jc w:val="both"/>
        <w:rPr>
          <w:rFonts w:ascii="Times New Roman" w:hAnsi="Times New Roman" w:cs="Times New Roman"/>
          <w:sz w:val="28"/>
          <w:szCs w:val="28"/>
          <w:lang w:val="uk-UA"/>
        </w:rPr>
      </w:pPr>
      <w:r>
        <w:rPr>
          <w:rFonts w:ascii="Times New Roman" w:hAnsi="Times New Roman" w:cs="Times New Roman"/>
          <w:i/>
          <w:sz w:val="28"/>
          <w:szCs w:val="28"/>
          <w:lang w:val="uk-UA"/>
        </w:rPr>
        <w:t>Мета</w:t>
      </w:r>
      <w:r>
        <w:rPr>
          <w:rFonts w:ascii="Times New Roman" w:hAnsi="Times New Roman" w:cs="Times New Roman"/>
          <w:sz w:val="28"/>
          <w:szCs w:val="28"/>
          <w:lang w:val="uk-UA"/>
        </w:rPr>
        <w:t xml:space="preserve"> констатувального етапу дослідження полягала у вивченні стану сформованості лексичного компонента мовлення у дітей 5-6 років із загальним недорозвитком мовлення. Загальний недорозвиток мовлення належить до складних мовленнєвих порушень, що охоплюють порушення формування всіх мовленнєвих компонентів, зокрема й лексичного компонента. </w:t>
      </w:r>
      <w:r>
        <w:rPr>
          <w:rFonts w:ascii="Times New Roman" w:hAnsi="Times New Roman" w:cs="Times New Roman"/>
          <w:sz w:val="28"/>
          <w:szCs w:val="28"/>
          <w:lang w:val="ru-RU"/>
        </w:rPr>
        <w:t>Ц</w:t>
      </w:r>
      <w:r>
        <w:rPr>
          <w:rFonts w:ascii="Times New Roman" w:hAnsi="Times New Roman" w:cs="Times New Roman"/>
          <w:sz w:val="28"/>
          <w:szCs w:val="28"/>
          <w:lang w:val="uk-UA"/>
        </w:rPr>
        <w:t xml:space="preserve">е порушення проявляється у вигляді </w:t>
      </w:r>
      <w:r>
        <w:rPr>
          <w:rFonts w:ascii="Times New Roman" w:hAnsi="Times New Roman" w:cs="Times New Roman"/>
          <w:sz w:val="28"/>
          <w:szCs w:val="28"/>
          <w:lang w:val="ru-RU"/>
        </w:rPr>
        <w:t>недоліків</w:t>
      </w:r>
      <w:r>
        <w:rPr>
          <w:rFonts w:ascii="Times New Roman" w:hAnsi="Times New Roman" w:cs="Times New Roman"/>
          <w:sz w:val="28"/>
          <w:szCs w:val="28"/>
          <w:lang w:val="uk-UA"/>
        </w:rPr>
        <w:t xml:space="preserve"> вимови та розрізнення звуків, обмеженого словникового запасу, труднощів у словотворенні та словозміні, а також нерозвиненості зв’язно</w:t>
      </w:r>
      <w:r>
        <w:rPr>
          <w:rFonts w:ascii="Times New Roman" w:hAnsi="Times New Roman" w:cs="Times New Roman"/>
          <w:sz w:val="28"/>
          <w:szCs w:val="28"/>
          <w:lang w:val="ru-RU"/>
        </w:rPr>
        <w:t>го</w:t>
      </w:r>
      <w:r>
        <w:rPr>
          <w:rFonts w:ascii="Times New Roman" w:hAnsi="Times New Roman" w:cs="Times New Roman"/>
          <w:sz w:val="28"/>
          <w:szCs w:val="28"/>
          <w:lang w:val="uk-UA"/>
        </w:rPr>
        <w:t xml:space="preserve"> мов</w:t>
      </w:r>
      <w:r>
        <w:rPr>
          <w:rFonts w:ascii="Times New Roman" w:hAnsi="Times New Roman" w:cs="Times New Roman"/>
          <w:sz w:val="28"/>
          <w:szCs w:val="28"/>
          <w:lang w:val="ru-RU"/>
        </w:rPr>
        <w:t>лення</w:t>
      </w:r>
      <w:r>
        <w:rPr>
          <w:rFonts w:ascii="Times New Roman" w:hAnsi="Times New Roman" w:cs="Times New Roman"/>
          <w:sz w:val="28"/>
          <w:szCs w:val="28"/>
          <w:lang w:val="uk-UA"/>
        </w:rPr>
        <w:t>. Аналіз медичних карток досліджуваних та результатів спілкування з логопедами закладу дошкільної освіти дав змогу констатувати 2-ий та 3-ій рівні мовленнєвого розвитку у дітей закладу дошкільної освіти, на базі якого відбувалось експериментальне дослідження. Відповідно до міжнародної класифікації захворювань, досліджувані відносяться до категорії F80 – розлади мовленнєвого розвитку.</w:t>
      </w:r>
    </w:p>
    <w:p w14:paraId="599E1D3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Експериментальне дослідження мовленнєвих особливостей дітей дошкільного віку базувалося на сучасних підходах у психології та педагогіці. Формування мовленнєвої компетентності у дітей дошкільного віку, які мають ускладнення у розвиткку мовлення, триває довго і є складним процесом. Для визначення найкращих методів діагностики та усунення мовленнєвих порушень важливо точно уявляти послідовність мовленнєвого розвитку дошкільнят, розуміти закономірності цього процесу та дотримуватися норм, які сприяють його успішному перебігу. </w:t>
      </w:r>
    </w:p>
    <w:p w14:paraId="1A02728B">
      <w:pPr>
        <w:spacing w:line="360" w:lineRule="auto"/>
        <w:ind w:firstLine="709"/>
        <w:jc w:val="both"/>
        <w:rPr>
          <w:rFonts w:ascii="Times New Roman" w:hAnsi="Times New Roman" w:cs="Times New Roman"/>
          <w:sz w:val="28"/>
          <w:szCs w:val="28"/>
          <w:lang w:val="uk-UA"/>
        </w:rPr>
      </w:pPr>
    </w:p>
    <w:p w14:paraId="5DFCDB1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досягнення мети виокремлено такі </w:t>
      </w:r>
      <w:r>
        <w:rPr>
          <w:rFonts w:ascii="Times New Roman" w:hAnsi="Times New Roman" w:cs="Times New Roman"/>
          <w:i/>
          <w:sz w:val="28"/>
          <w:szCs w:val="28"/>
          <w:lang w:val="uk-UA"/>
        </w:rPr>
        <w:t>завдання</w:t>
      </w:r>
      <w:r>
        <w:rPr>
          <w:rFonts w:ascii="Times New Roman" w:hAnsi="Times New Roman" w:cs="Times New Roman"/>
          <w:sz w:val="28"/>
          <w:szCs w:val="28"/>
          <w:lang w:val="uk-UA"/>
        </w:rPr>
        <w:t>:</w:t>
      </w:r>
    </w:p>
    <w:p w14:paraId="2B1285A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розробити критерії оцінювання розвитку лексичного компонента мовлення у дітей дошкільного віку з мовленнєвими труднощами;</w:t>
      </w:r>
    </w:p>
    <w:p w14:paraId="39CCD14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підібрати діагностичні методики для виявлення специфічних особливостей розвитку лексичного компонента мовлення у цієї групи дітей; </w:t>
      </w:r>
    </w:p>
    <w:p w14:paraId="13F9455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провести діагностику рівня розвиненості лексичного компонента мовлення у дітей дошкільного віку із мовленнєвими труднощами;</w:t>
      </w:r>
    </w:p>
    <w:p w14:paraId="2BE4F34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проаналізувати та узагальнити отримані результати.</w:t>
      </w:r>
    </w:p>
    <w:p w14:paraId="7C88C61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Констатувальне дослідження складалось з трьох етапів. </w:t>
      </w:r>
    </w:p>
    <w:p w14:paraId="0A906564">
      <w:pPr>
        <w:spacing w:line="360" w:lineRule="auto"/>
        <w:ind w:firstLine="709"/>
        <w:jc w:val="both"/>
        <w:rPr>
          <w:rFonts w:ascii="Times New Roman" w:hAnsi="Times New Roman" w:cs="Times New Roman"/>
          <w:sz w:val="28"/>
          <w:szCs w:val="28"/>
          <w:lang w:val="uk-UA"/>
        </w:rPr>
      </w:pPr>
      <w:r>
        <w:rPr>
          <w:rFonts w:ascii="Times New Roman" w:hAnsi="Times New Roman" w:cs="Times New Roman"/>
          <w:bCs/>
          <w:i/>
          <w:sz w:val="28"/>
          <w:szCs w:val="28"/>
          <w:lang w:val="uk-UA"/>
        </w:rPr>
        <w:t>І етап – підготовчий</w:t>
      </w:r>
      <w:r>
        <w:rPr>
          <w:rFonts w:ascii="Times New Roman" w:hAnsi="Times New Roman" w:cs="Times New Roman"/>
          <w:sz w:val="28"/>
          <w:szCs w:val="28"/>
          <w:lang w:val="uk-UA"/>
        </w:rPr>
        <w:t xml:space="preserve"> – охоплював такі дії: встановлення критеріїв оцінювання та рівнів сформованості лексичного компонента мовлення у цієї категорії дітей; розроблення та вибір діагностичних методик для оцінювання рівня сформованості лексичного компонента мовлення у дітей дошкільного віку з мовленнєвими труднощами; формування контрольної та експериментальної груп, визначення їх кількісного та якісного складу.</w:t>
      </w:r>
    </w:p>
    <w:p w14:paraId="5648B52A">
      <w:pPr>
        <w:spacing w:line="360" w:lineRule="auto"/>
        <w:ind w:firstLine="709"/>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На основі аналізу науково-методичної літератури ми визначили такі </w:t>
      </w:r>
      <w:r>
        <w:rPr>
          <w:rFonts w:ascii="Times New Roman" w:hAnsi="Times New Roman" w:cs="Times New Roman"/>
          <w:i/>
          <w:sz w:val="28"/>
          <w:szCs w:val="28"/>
          <w:lang w:val="uk-UA"/>
        </w:rPr>
        <w:t>критерії:</w:t>
      </w:r>
    </w:p>
    <w:p w14:paraId="46F4F722">
      <w:pPr>
        <w:spacing w:line="360" w:lineRule="auto"/>
        <w:ind w:firstLine="709"/>
        <w:jc w:val="both"/>
        <w:rPr>
          <w:lang w:val="ru-RU"/>
        </w:rPr>
      </w:pPr>
      <w:r>
        <w:rPr>
          <w:rFonts w:ascii="Times New Roman" w:hAnsi="Times New Roman" w:cs="Times New Roman"/>
          <w:sz w:val="28"/>
          <w:szCs w:val="28"/>
          <w:lang w:val="uk-UA"/>
        </w:rPr>
        <w:t xml:space="preserve">1. Сформованість різних рівнів лексичних узагальнень </w:t>
      </w:r>
    </w:p>
    <w:p w14:paraId="421E7EE8">
      <w:pPr>
        <w:spacing w:line="360" w:lineRule="auto"/>
        <w:ind w:firstLine="709"/>
        <w:jc w:val="both"/>
        <w:rPr>
          <w:lang w:val="ru-RU"/>
        </w:rPr>
      </w:pPr>
      <w:r>
        <w:rPr>
          <w:rFonts w:ascii="Times New Roman" w:hAnsi="Times New Roman" w:cs="Times New Roman"/>
          <w:sz w:val="28"/>
          <w:szCs w:val="28"/>
          <w:lang w:val="uk-UA"/>
        </w:rPr>
        <w:t xml:space="preserve">2. Оволодіння похідними значеннями слова </w:t>
      </w:r>
    </w:p>
    <w:p w14:paraId="3A9729A0">
      <w:pPr>
        <w:spacing w:line="360" w:lineRule="auto"/>
        <w:ind w:firstLine="709"/>
        <w:jc w:val="both"/>
        <w:rPr>
          <w:lang w:val="ru-RU"/>
        </w:rPr>
      </w:pPr>
      <w:r>
        <w:rPr>
          <w:rFonts w:ascii="Times New Roman" w:hAnsi="Times New Roman" w:cs="Times New Roman"/>
          <w:sz w:val="28"/>
          <w:szCs w:val="28"/>
          <w:lang w:val="uk-UA"/>
        </w:rPr>
        <w:t xml:space="preserve">3. Прогнозування на лексичному рівні </w:t>
      </w:r>
    </w:p>
    <w:p w14:paraId="4F8980EF">
      <w:pPr>
        <w:spacing w:line="360" w:lineRule="auto"/>
        <w:ind w:firstLine="709"/>
        <w:jc w:val="both"/>
        <w:rPr>
          <w:lang w:val="ru-RU"/>
        </w:rPr>
      </w:pPr>
      <w:r>
        <w:rPr>
          <w:rFonts w:ascii="Times New Roman" w:hAnsi="Times New Roman" w:cs="Times New Roman"/>
          <w:sz w:val="28"/>
          <w:szCs w:val="28"/>
          <w:lang w:val="uk-UA"/>
        </w:rPr>
        <w:t xml:space="preserve">4. Семантичний контроль </w:t>
      </w:r>
    </w:p>
    <w:p w14:paraId="4F2EF51E">
      <w:pPr>
        <w:spacing w:line="360" w:lineRule="auto"/>
        <w:ind w:firstLine="709"/>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Вибірка дослідження: </w:t>
      </w:r>
      <w:r>
        <w:rPr>
          <w:rFonts w:ascii="Times New Roman" w:hAnsi="Times New Roman" w:cs="Times New Roman"/>
          <w:sz w:val="28"/>
          <w:szCs w:val="28"/>
          <w:lang w:val="uk-UA"/>
        </w:rPr>
        <w:t>20 дітей віком 5-6 років: по 10 дітей у контрольній групі (КГ) та експериментальній групі (ЕГ). У досліджуваній групі визначено загальний недорозвиток мовлення з медичною класифікацією F80 – розлади мовленнєвого розвитку.</w:t>
      </w:r>
    </w:p>
    <w:p w14:paraId="5707F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оцінки стану сформованості лексичного компонента мовлення у дітей дошкільного віку з мовленнєвими труднощами під час констатувального експерименту ми використали такі методики: завдання для випробувань дітей віком 5-6 років та методики оцінки рівня розвитку мовлення у дошкільників за авторством Ю. В. Рібцун [38], а також методику діагностики мовленнєвого розвитку, детально описану у дисертаційному дослідженні І. М. Брушневської [7, </w:t>
      </w:r>
      <w:r>
        <w:rPr>
          <w:rFonts w:ascii="Times New Roman" w:hAnsi="Times New Roman" w:cs="Times New Roman"/>
          <w:sz w:val="28"/>
          <w:szCs w:val="28"/>
        </w:rPr>
        <w:t>c</w:t>
      </w:r>
      <w:r>
        <w:rPr>
          <w:rFonts w:ascii="Times New Roman" w:hAnsi="Times New Roman" w:cs="Times New Roman"/>
          <w:sz w:val="28"/>
          <w:szCs w:val="28"/>
          <w:lang w:val="uk-UA"/>
        </w:rPr>
        <w:t>. 232-253].</w:t>
      </w:r>
    </w:p>
    <w:p w14:paraId="019BFED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Далі на основі визначених критеріїв ми здійснили добір </w:t>
      </w:r>
      <w:r>
        <w:rPr>
          <w:rFonts w:ascii="Times New Roman" w:hAnsi="Times New Roman" w:cs="Times New Roman"/>
          <w:i/>
          <w:iCs/>
          <w:sz w:val="28"/>
          <w:szCs w:val="28"/>
          <w:lang w:val="uk-UA"/>
        </w:rPr>
        <w:t>методик</w:t>
      </w:r>
      <w:r>
        <w:rPr>
          <w:rFonts w:ascii="Times New Roman" w:hAnsi="Times New Roman" w:cs="Times New Roman"/>
          <w:sz w:val="28"/>
          <w:szCs w:val="28"/>
          <w:lang w:val="uk-UA"/>
        </w:rPr>
        <w:t xml:space="preserve">, які детально описані у додатку А: </w:t>
      </w:r>
    </w:p>
    <w:p w14:paraId="1C5A51FA">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дітьми категоріального значення іменників («Склади букет»);</w:t>
      </w:r>
    </w:p>
    <w:p w14:paraId="7E8517DB">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дітьми категоріального значення антонімічних ознак предметів, поданих парами («Хто чим грається?»);</w:t>
      </w:r>
    </w:p>
    <w:p w14:paraId="16D2D5CD">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дітьми категоріального значення антонімічних ознак предметів, розташованих врозсип («Два ведмеді»);</w:t>
      </w:r>
    </w:p>
    <w:p w14:paraId="152C8015">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дітьми категоріального значення дієслів («Хто що робить»);</w:t>
      </w:r>
    </w:p>
    <w:p w14:paraId="39527B8A">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дітьми контекстуально зумовлених лексичних узагальнень («Знайди і покажи»);</w:t>
      </w:r>
    </w:p>
    <w:p w14:paraId="64845BA0">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молодшими дошкільниками позначення родового поняття «іграшки» («Знайди іграшки»);</w:t>
      </w:r>
    </w:p>
    <w:p w14:paraId="12D60D7D">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молодшими дошкільниками позначення родового поняття «їжа» («Смачного!»);</w:t>
      </w:r>
    </w:p>
    <w:p w14:paraId="76474D8B">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молодшими дошкільниками позначення родового поняття «одяг» («Допоможемо Тетяні»);</w:t>
      </w:r>
    </w:p>
    <w:p w14:paraId="77FD320C">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визначення семантичних зв’язків, що лежать в основі понятійної співвіднесеності слова («Зима–літо»);</w:t>
      </w:r>
    </w:p>
    <w:p w14:paraId="6E947139">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дошкільниками багатозначності як лексико-семантичного мовленнєвого явища («Слова-близнята»);</w:t>
      </w:r>
    </w:p>
    <w:p w14:paraId="66F3D400">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дошкільниками дериваційного значення слів для позначення зменшувально-пестливих форм («Дві сестрички»);</w:t>
      </w:r>
    </w:p>
    <w:p w14:paraId="1213A2B0">
      <w:pPr>
        <w:pStyle w:val="1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розуміння прогнозування на лексичному рівні («Я почну, а ти – продовжуй»).</w:t>
      </w:r>
    </w:p>
    <w:p w14:paraId="70B162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Методика констатувального етапу дослідження представлена у таблиці 2.1.</w:t>
      </w:r>
    </w:p>
    <w:p w14:paraId="27D1BA09">
      <w:pPr>
        <w:spacing w:line="360" w:lineRule="auto"/>
        <w:ind w:firstLine="709"/>
        <w:jc w:val="right"/>
        <w:rPr>
          <w:rFonts w:ascii="Times New Roman" w:hAnsi="Times New Roman" w:cs="Times New Roman"/>
          <w:i/>
          <w:sz w:val="28"/>
          <w:szCs w:val="28"/>
          <w:lang w:val="uk-UA"/>
        </w:rPr>
      </w:pPr>
      <w:r>
        <w:rPr>
          <w:rFonts w:ascii="Times New Roman" w:hAnsi="Times New Roman" w:cs="Times New Roman"/>
          <w:i/>
          <w:sz w:val="28"/>
          <w:szCs w:val="28"/>
          <w:lang w:val="uk-UA"/>
        </w:rPr>
        <w:t>Таблиця 2.1</w:t>
      </w:r>
    </w:p>
    <w:p w14:paraId="46F9DD87">
      <w:pPr>
        <w:spacing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Методика констатувального етапу дослідження</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4111"/>
        <w:gridCol w:w="2977"/>
      </w:tblGrid>
      <w:tr w14:paraId="2E1C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96A5E04">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Критерії оцінювання стану сформованості лексичного компонента мовлення</w:t>
            </w:r>
          </w:p>
        </w:tc>
        <w:tc>
          <w:tcPr>
            <w:tcW w:w="4111" w:type="dxa"/>
          </w:tcPr>
          <w:p w14:paraId="166441D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Показники оцінювання</w:t>
            </w:r>
          </w:p>
          <w:p w14:paraId="36AF21B8">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стану сформованості лексичного компонента мовлення</w:t>
            </w:r>
          </w:p>
        </w:tc>
        <w:tc>
          <w:tcPr>
            <w:tcW w:w="2977" w:type="dxa"/>
          </w:tcPr>
          <w:p w14:paraId="7242921A">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Методики дослідження стану сформованості лексичного компонента мовлення</w:t>
            </w:r>
          </w:p>
        </w:tc>
      </w:tr>
      <w:tr w14:paraId="18D1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36E7E337">
            <w:pPr>
              <w:rPr>
                <w:rFonts w:ascii="Times New Roman" w:hAnsi="Times New Roman" w:cs="Times New Roman"/>
                <w:i/>
                <w:sz w:val="28"/>
                <w:szCs w:val="28"/>
                <w:lang w:val="ru-RU"/>
              </w:rPr>
            </w:pPr>
            <w:r>
              <w:rPr>
                <w:rFonts w:ascii="Times New Roman" w:hAnsi="Times New Roman" w:cs="Times New Roman"/>
                <w:sz w:val="28"/>
                <w:szCs w:val="28"/>
                <w:lang w:val="uk-UA"/>
              </w:rPr>
              <w:t xml:space="preserve">1. Сформованість різних рівнів лексичних узагальнень </w:t>
            </w:r>
          </w:p>
        </w:tc>
        <w:tc>
          <w:tcPr>
            <w:tcW w:w="4111" w:type="dxa"/>
          </w:tcPr>
          <w:p w14:paraId="25EE5DBD">
            <w:pPr>
              <w:rPr>
                <w:lang w:val="ru-RU"/>
              </w:rPr>
            </w:pPr>
            <w:r>
              <w:rPr>
                <w:rFonts w:ascii="Times New Roman" w:hAnsi="Times New Roman" w:cs="Times New Roman"/>
                <w:sz w:val="28"/>
                <w:szCs w:val="28"/>
                <w:lang w:val="uk-UA"/>
              </w:rPr>
              <w:t>- к</w:t>
            </w:r>
            <w:r>
              <w:rPr>
                <w:rFonts w:ascii="Times New Roman" w:hAnsi="Times New Roman" w:cs="Times New Roman"/>
                <w:i/>
                <w:iCs/>
                <w:sz w:val="28"/>
                <w:szCs w:val="28"/>
                <w:lang w:val="uk-UA"/>
              </w:rPr>
              <w:t>атегоріальні узагальнення</w:t>
            </w:r>
            <w:r>
              <w:rPr>
                <w:rFonts w:ascii="Times New Roman" w:hAnsi="Times New Roman" w:cs="Times New Roman"/>
                <w:sz w:val="28"/>
                <w:szCs w:val="28"/>
                <w:lang w:val="uk-UA"/>
              </w:rPr>
              <w:t xml:space="preserve">  застосовуються як основа для класифікації слів за загальними ознаками;</w:t>
            </w:r>
          </w:p>
          <w:p w14:paraId="22DF42DE">
            <w:pPr>
              <w:rPr>
                <w:lang w:val="ru-RU"/>
              </w:rPr>
            </w:pPr>
            <w:r>
              <w:rPr>
                <w:rFonts w:ascii="Times New Roman" w:hAnsi="Times New Roman" w:cs="Times New Roman"/>
                <w:i/>
                <w:iCs/>
                <w:sz w:val="28"/>
                <w:szCs w:val="28"/>
                <w:lang w:val="uk-UA"/>
              </w:rPr>
              <w:t>- узагальнення, визначені контекстом</w:t>
            </w:r>
            <w:r>
              <w:rPr>
                <w:rFonts w:ascii="Times New Roman" w:hAnsi="Times New Roman" w:cs="Times New Roman"/>
                <w:sz w:val="28"/>
                <w:szCs w:val="28"/>
                <w:lang w:val="uk-UA"/>
              </w:rPr>
              <w:t xml:space="preserve"> передбачають, що значення слова може змінюватися в залежності від контексту, в якому воно вживається;</w:t>
            </w:r>
          </w:p>
          <w:p w14:paraId="2D1261BB">
            <w:pPr>
              <w:rPr>
                <w:lang w:val="ru-RU"/>
              </w:rPr>
            </w:pPr>
            <w:r>
              <w:rPr>
                <w:rFonts w:ascii="Times New Roman" w:hAnsi="Times New Roman" w:cs="Times New Roman"/>
                <w:i/>
                <w:iCs/>
                <w:sz w:val="28"/>
                <w:szCs w:val="28"/>
                <w:lang w:val="uk-UA"/>
              </w:rPr>
              <w:t>- видові та родові поняття</w:t>
            </w:r>
            <w:r>
              <w:rPr>
                <w:rFonts w:ascii="Times New Roman" w:hAnsi="Times New Roman" w:cs="Times New Roman"/>
                <w:sz w:val="28"/>
                <w:szCs w:val="28"/>
                <w:lang w:val="uk-UA"/>
              </w:rPr>
              <w:t xml:space="preserve"> допомагають дітям зрозуміти зв’язки між загальними категоріями і конкретними об’єктами;</w:t>
            </w:r>
          </w:p>
          <w:p w14:paraId="71FCD48E">
            <w:pPr>
              <w:rPr>
                <w:lang w:val="ru-RU"/>
              </w:rPr>
            </w:pPr>
            <w:r>
              <w:rPr>
                <w:rFonts w:ascii="Times New Roman" w:hAnsi="Times New Roman" w:cs="Times New Roman"/>
                <w:i/>
                <w:iCs/>
                <w:sz w:val="28"/>
                <w:szCs w:val="28"/>
                <w:lang w:val="uk-UA"/>
              </w:rPr>
              <w:t>- визначення смислових зв’язків</w:t>
            </w:r>
            <w:r>
              <w:rPr>
                <w:rFonts w:ascii="Times New Roman" w:hAnsi="Times New Roman" w:cs="Times New Roman"/>
                <w:sz w:val="28"/>
                <w:szCs w:val="28"/>
                <w:lang w:val="uk-UA"/>
              </w:rPr>
              <w:t>, що лежать в основі концептуального співвіднесення слова, вміння дітей розуміти та визначати зв'язки між словами та їх значеннями;</w:t>
            </w:r>
          </w:p>
          <w:p w14:paraId="0774D8BB">
            <w:pPr>
              <w:rPr>
                <w:rFonts w:ascii="Times New Roman" w:hAnsi="Times New Roman" w:cs="Times New Roman"/>
                <w:i/>
                <w:sz w:val="28"/>
                <w:szCs w:val="28"/>
                <w:lang w:val="uk-UA"/>
              </w:rPr>
            </w:pPr>
            <w:r>
              <w:rPr>
                <w:rFonts w:ascii="Times New Roman" w:hAnsi="Times New Roman" w:cs="Times New Roman"/>
                <w:i/>
                <w:iCs/>
                <w:sz w:val="28"/>
                <w:szCs w:val="28"/>
                <w:lang w:val="ru-RU"/>
              </w:rPr>
              <w:t xml:space="preserve">- </w:t>
            </w:r>
            <w:r>
              <w:rPr>
                <w:rFonts w:ascii="Times New Roman" w:hAnsi="Times New Roman" w:cs="Times New Roman"/>
                <w:i/>
                <w:iCs/>
                <w:sz w:val="28"/>
                <w:szCs w:val="28"/>
                <w:lang w:val="uk-UA"/>
              </w:rPr>
              <w:t xml:space="preserve">лексико-семантичні мовленнєві явища – </w:t>
            </w:r>
            <w:r>
              <w:rPr>
                <w:rFonts w:ascii="Times New Roman" w:hAnsi="Times New Roman" w:cs="Times New Roman"/>
                <w:sz w:val="28"/>
                <w:szCs w:val="28"/>
                <w:lang w:val="uk-UA"/>
              </w:rPr>
              <w:t xml:space="preserve">  багато слів можуть мати кілька значень, залежно від контексту</w:t>
            </w:r>
          </w:p>
        </w:tc>
        <w:tc>
          <w:tcPr>
            <w:tcW w:w="2977" w:type="dxa"/>
          </w:tcPr>
          <w:p w14:paraId="194AB95F">
            <w:pPr>
              <w:rPr>
                <w:rFonts w:ascii="Times New Roman" w:hAnsi="Times New Roman" w:cs="Times New Roman"/>
                <w:sz w:val="28"/>
                <w:szCs w:val="28"/>
                <w:lang w:val="uk-UA"/>
              </w:rPr>
            </w:pPr>
            <w:r>
              <w:rPr>
                <w:rFonts w:ascii="Times New Roman" w:hAnsi="Times New Roman" w:cs="Times New Roman"/>
                <w:sz w:val="28"/>
                <w:szCs w:val="28"/>
                <w:lang w:val="uk-UA"/>
              </w:rPr>
              <w:t xml:space="preserve">«Знайди і покажи». 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читає текст, пропонує дитині уважно розглянути сюжетну картинку і показати предмет, про який йшлося в тексті</w:t>
            </w:r>
          </w:p>
          <w:p w14:paraId="0E908244">
            <w:pPr>
              <w:rPr>
                <w:rFonts w:ascii="Times New Roman" w:hAnsi="Times New Roman" w:cs="Times New Roman"/>
                <w:sz w:val="28"/>
                <w:szCs w:val="28"/>
                <w:lang w:val="uk-UA"/>
              </w:rPr>
            </w:pPr>
            <w:r>
              <w:rPr>
                <w:rFonts w:ascii="Times New Roman" w:hAnsi="Times New Roman" w:cs="Times New Roman"/>
                <w:sz w:val="28"/>
                <w:szCs w:val="28"/>
                <w:lang w:val="uk-UA"/>
              </w:rPr>
              <w:t xml:space="preserve">«Смачного!». 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пропонує дитині показати серед зображень тільки ті, які представляють їжу, якою можна почастувати гостей.</w:t>
            </w:r>
          </w:p>
          <w:p w14:paraId="2D107059">
            <w:pPr>
              <w:rPr>
                <w:rFonts w:ascii="Times New Roman" w:hAnsi="Times New Roman" w:cs="Times New Roman"/>
                <w:i/>
                <w:sz w:val="28"/>
                <w:szCs w:val="28"/>
                <w:lang w:val="uk-UA"/>
              </w:rPr>
            </w:pPr>
            <w:r>
              <w:rPr>
                <w:rFonts w:ascii="Times New Roman" w:hAnsi="Times New Roman" w:cs="Times New Roman"/>
                <w:sz w:val="28"/>
                <w:szCs w:val="28"/>
                <w:lang w:val="uk-UA"/>
              </w:rPr>
              <w:t xml:space="preserve">«Слова-близнята». 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розкладає перед дитиною картинки однієї групи, називає їх і пропонує показати на всіх зображеннях.</w:t>
            </w:r>
          </w:p>
        </w:tc>
      </w:tr>
      <w:tr w14:paraId="7BE9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5061C9F">
            <w:pPr>
              <w:rPr>
                <w:rFonts w:ascii="Times New Roman" w:hAnsi="Times New Roman" w:cs="Times New Roman"/>
                <w:i/>
                <w:sz w:val="28"/>
                <w:szCs w:val="28"/>
                <w:lang w:val="uk-UA"/>
              </w:rPr>
            </w:pPr>
            <w:r>
              <w:rPr>
                <w:rFonts w:ascii="Times New Roman" w:hAnsi="Times New Roman" w:cs="Times New Roman"/>
                <w:sz w:val="28"/>
                <w:szCs w:val="28"/>
                <w:lang w:val="uk-UA"/>
              </w:rPr>
              <w:t xml:space="preserve">2. Оволодіння похідними значеннями слова </w:t>
            </w:r>
          </w:p>
        </w:tc>
        <w:tc>
          <w:tcPr>
            <w:tcW w:w="4111" w:type="dxa"/>
          </w:tcPr>
          <w:p w14:paraId="12A6E555">
            <w:pPr>
              <w:rPr>
                <w:lang w:val="ru-RU"/>
              </w:rPr>
            </w:pPr>
            <w:r>
              <w:rPr>
                <w:rFonts w:ascii="Times New Roman" w:hAnsi="Times New Roman" w:cs="Times New Roman"/>
                <w:i/>
                <w:iCs/>
                <w:sz w:val="28"/>
                <w:szCs w:val="28"/>
                <w:lang w:val="uk-UA"/>
              </w:rPr>
              <w:t>- зменшувально-пестливі форми слів</w:t>
            </w:r>
            <w:r>
              <w:rPr>
                <w:rFonts w:ascii="Times New Roman" w:hAnsi="Times New Roman" w:cs="Times New Roman"/>
                <w:sz w:val="28"/>
                <w:szCs w:val="28"/>
                <w:lang w:val="uk-UA"/>
              </w:rPr>
              <w:t xml:space="preserve"> часто використовуються у спілкуванні з дітьми та між дорослими, щоб висловити ніжність, любов або прихильність;</w:t>
            </w:r>
          </w:p>
          <w:p w14:paraId="5ABABE77">
            <w:pPr>
              <w:rPr>
                <w:rFonts w:ascii="Times New Roman" w:hAnsi="Times New Roman" w:cs="Times New Roman"/>
                <w:i/>
                <w:sz w:val="28"/>
                <w:szCs w:val="28"/>
                <w:lang w:val="ru-RU"/>
              </w:rPr>
            </w:pPr>
            <w:r>
              <w:rPr>
                <w:rFonts w:ascii="Times New Roman" w:hAnsi="Times New Roman" w:cs="Times New Roman"/>
                <w:i/>
                <w:iCs/>
                <w:sz w:val="28"/>
                <w:szCs w:val="28"/>
                <w:lang w:val="uk-UA"/>
              </w:rPr>
              <w:t>- позначення дитинчат тварин</w:t>
            </w:r>
            <w:r>
              <w:rPr>
                <w:rFonts w:ascii="Times New Roman" w:hAnsi="Times New Roman" w:cs="Times New Roman"/>
                <w:sz w:val="28"/>
                <w:szCs w:val="28"/>
                <w:lang w:val="uk-UA"/>
              </w:rPr>
              <w:t xml:space="preserve"> також є важливим аспектом оволодіння похідними значеннями слів</w:t>
            </w:r>
          </w:p>
        </w:tc>
        <w:tc>
          <w:tcPr>
            <w:tcW w:w="2977" w:type="dxa"/>
          </w:tcPr>
          <w:p w14:paraId="7F17D85B">
            <w:pPr>
              <w:rPr>
                <w:rFonts w:ascii="Times New Roman" w:hAnsi="Times New Roman" w:cs="Times New Roman"/>
                <w:sz w:val="28"/>
                <w:szCs w:val="28"/>
                <w:lang w:val="uk-UA"/>
              </w:rPr>
            </w:pPr>
            <w:r>
              <w:rPr>
                <w:rFonts w:ascii="Times New Roman" w:hAnsi="Times New Roman" w:cs="Times New Roman"/>
                <w:sz w:val="28"/>
                <w:szCs w:val="28"/>
                <w:lang w:val="uk-UA"/>
              </w:rPr>
              <w:t xml:space="preserve">«Дві сестрички» </w:t>
            </w:r>
          </w:p>
          <w:p w14:paraId="467EA7C7">
            <w:pPr>
              <w:rPr>
                <w:lang w:val="ru-RU"/>
              </w:rPr>
            </w:pPr>
            <w:r>
              <w:rPr>
                <w:rFonts w:ascii="Times New Roman" w:hAnsi="Times New Roman" w:cs="Times New Roman"/>
                <w:sz w:val="28"/>
                <w:szCs w:val="28"/>
                <w:lang w:val="uk-UA"/>
              </w:rPr>
              <w:t xml:space="preserve">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розповідає історію, дитина повинна показати предмети відповідно до розповіді вихователя</w:t>
            </w:r>
          </w:p>
          <w:p w14:paraId="4C2B21D8">
            <w:pPr>
              <w:rPr>
                <w:rFonts w:ascii="Times New Roman" w:hAnsi="Times New Roman" w:cs="Times New Roman"/>
                <w:i/>
                <w:sz w:val="28"/>
                <w:szCs w:val="28"/>
                <w:lang w:val="uk-UA"/>
              </w:rPr>
            </w:pPr>
          </w:p>
        </w:tc>
      </w:tr>
      <w:tr w14:paraId="625C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8B9EE34">
            <w:pPr>
              <w:rPr>
                <w:rFonts w:ascii="Times New Roman" w:hAnsi="Times New Roman" w:cs="Times New Roman"/>
                <w:i/>
                <w:sz w:val="28"/>
                <w:szCs w:val="28"/>
                <w:lang w:val="uk-UA"/>
              </w:rPr>
            </w:pPr>
            <w:r>
              <w:rPr>
                <w:rFonts w:ascii="Times New Roman" w:hAnsi="Times New Roman" w:cs="Times New Roman"/>
                <w:sz w:val="28"/>
                <w:szCs w:val="28"/>
                <w:lang w:val="uk-UA"/>
              </w:rPr>
              <w:t>3. Прогнозування на лексичному рівні</w:t>
            </w:r>
          </w:p>
        </w:tc>
        <w:tc>
          <w:tcPr>
            <w:tcW w:w="4111" w:type="dxa"/>
          </w:tcPr>
          <w:p w14:paraId="77CCC4EF">
            <w:pPr>
              <w:rPr>
                <w:lang w:val="ru-RU"/>
              </w:rPr>
            </w:pPr>
            <w:r>
              <w:rPr>
                <w:rFonts w:ascii="Times New Roman" w:hAnsi="Times New Roman" w:cs="Times New Roman"/>
                <w:i/>
                <w:iCs/>
                <w:sz w:val="28"/>
                <w:szCs w:val="28"/>
                <w:lang w:val="uk-UA"/>
              </w:rPr>
              <w:t>- вдосконалення мовлення</w:t>
            </w:r>
            <w:r>
              <w:rPr>
                <w:rFonts w:ascii="Times New Roman" w:hAnsi="Times New Roman" w:cs="Times New Roman"/>
                <w:sz w:val="28"/>
                <w:szCs w:val="28"/>
                <w:lang w:val="uk-UA"/>
              </w:rPr>
              <w:t xml:space="preserve"> допомагає дітям правильно відтворювати слова, формувати правильні мовленнєві конструкти;</w:t>
            </w:r>
          </w:p>
          <w:p w14:paraId="1B5AF31B">
            <w:pPr>
              <w:rPr>
                <w:lang w:val="ru-RU"/>
              </w:rPr>
            </w:pPr>
            <w:r>
              <w:rPr>
                <w:rFonts w:ascii="Times New Roman" w:hAnsi="Times New Roman" w:cs="Times New Roman"/>
                <w:i/>
                <w:iCs/>
                <w:sz w:val="28"/>
                <w:szCs w:val="28"/>
                <w:lang w:val="uk-UA"/>
              </w:rPr>
              <w:t>- сприяння комунікації</w:t>
            </w:r>
            <w:r>
              <w:rPr>
                <w:rFonts w:ascii="Times New Roman" w:hAnsi="Times New Roman" w:cs="Times New Roman"/>
                <w:sz w:val="28"/>
                <w:szCs w:val="28"/>
                <w:lang w:val="uk-UA"/>
              </w:rPr>
              <w:t xml:space="preserve"> робить спілкування дітей більш ефективним та зрозумілим;</w:t>
            </w:r>
          </w:p>
          <w:p w14:paraId="641827DA">
            <w:pPr>
              <w:rPr>
                <w:rFonts w:ascii="Times New Roman" w:hAnsi="Times New Roman" w:cs="Times New Roman"/>
                <w:i/>
                <w:sz w:val="28"/>
                <w:szCs w:val="28"/>
                <w:lang w:val="ru-RU"/>
              </w:rPr>
            </w:pPr>
            <w:r>
              <w:rPr>
                <w:rFonts w:ascii="Times New Roman" w:hAnsi="Times New Roman" w:cs="Times New Roman"/>
                <w:i/>
                <w:iCs/>
                <w:sz w:val="28"/>
                <w:szCs w:val="28"/>
                <w:lang w:val="uk-UA"/>
              </w:rPr>
              <w:t>стимулювання когнітивного розвитку</w:t>
            </w:r>
            <w:r>
              <w:rPr>
                <w:rFonts w:ascii="Times New Roman" w:hAnsi="Times New Roman" w:cs="Times New Roman"/>
                <w:sz w:val="28"/>
                <w:szCs w:val="28"/>
                <w:lang w:val="uk-UA"/>
              </w:rPr>
              <w:t xml:space="preserve"> – надає знання про слова та розуміння їх контексту </w:t>
            </w:r>
          </w:p>
        </w:tc>
        <w:tc>
          <w:tcPr>
            <w:tcW w:w="2977" w:type="dxa"/>
          </w:tcPr>
          <w:p w14:paraId="69E91C2D">
            <w:pPr>
              <w:rPr>
                <w:rFonts w:ascii="Times New Roman" w:hAnsi="Times New Roman" w:cs="Times New Roman"/>
                <w:sz w:val="28"/>
                <w:szCs w:val="28"/>
                <w:lang w:val="uk-UA"/>
              </w:rPr>
            </w:pPr>
            <w:r>
              <w:rPr>
                <w:rFonts w:ascii="Times New Roman" w:hAnsi="Times New Roman" w:cs="Times New Roman"/>
                <w:sz w:val="28"/>
                <w:szCs w:val="28"/>
                <w:lang w:val="uk-UA"/>
              </w:rPr>
              <w:t xml:space="preserve">«Я почну, а ти – продовжуй». 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починає речення, а дитина повинна завершити його, вибравши відповідну картинку</w:t>
            </w:r>
          </w:p>
        </w:tc>
      </w:tr>
      <w:tr w14:paraId="4223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99445A0">
            <w:pPr>
              <w:rPr>
                <w:rFonts w:ascii="Times New Roman" w:hAnsi="Times New Roman" w:cs="Times New Roman"/>
                <w:i/>
                <w:sz w:val="28"/>
                <w:szCs w:val="28"/>
                <w:lang w:val="uk-UA"/>
              </w:rPr>
            </w:pPr>
            <w:r>
              <w:rPr>
                <w:rFonts w:ascii="Times New Roman" w:hAnsi="Times New Roman" w:cs="Times New Roman"/>
                <w:sz w:val="28"/>
                <w:szCs w:val="28"/>
                <w:lang w:val="uk-UA"/>
              </w:rPr>
              <w:t>4. Семантичний контроль</w:t>
            </w:r>
          </w:p>
        </w:tc>
        <w:tc>
          <w:tcPr>
            <w:tcW w:w="4111" w:type="dxa"/>
          </w:tcPr>
          <w:p w14:paraId="21D7C6D0">
            <w:pPr>
              <w:rPr>
                <w:lang w:val="ru-RU"/>
              </w:rPr>
            </w:pPr>
            <w:r>
              <w:rPr>
                <w:rFonts w:ascii="Times New Roman" w:hAnsi="Times New Roman" w:cs="Times New Roman"/>
                <w:i/>
                <w:iCs/>
                <w:sz w:val="28"/>
                <w:szCs w:val="28"/>
                <w:lang w:val="uk-UA"/>
              </w:rPr>
              <w:t>- оцінка значення слів</w:t>
            </w:r>
            <w:r>
              <w:rPr>
                <w:rFonts w:ascii="Times New Roman" w:hAnsi="Times New Roman" w:cs="Times New Roman"/>
                <w:sz w:val="28"/>
                <w:szCs w:val="28"/>
                <w:lang w:val="uk-UA"/>
              </w:rPr>
              <w:t xml:space="preserve"> </w:t>
            </w:r>
          </w:p>
          <w:p w14:paraId="3299A2D8">
            <w:pPr>
              <w:rPr>
                <w:lang w:val="ru-RU"/>
              </w:rPr>
            </w:pPr>
            <w:r>
              <w:rPr>
                <w:rFonts w:ascii="Times New Roman" w:hAnsi="Times New Roman" w:cs="Times New Roman"/>
                <w:sz w:val="28"/>
                <w:szCs w:val="28"/>
                <w:lang w:val="uk-UA"/>
              </w:rPr>
              <w:t>передбачає розвиток навичок аналізу і синтезу значень;</w:t>
            </w:r>
          </w:p>
          <w:p w14:paraId="49A87721">
            <w:pPr>
              <w:rPr>
                <w:lang w:val="ru-RU"/>
              </w:rPr>
            </w:pPr>
            <w:r>
              <w:rPr>
                <w:rFonts w:ascii="Times New Roman" w:hAnsi="Times New Roman" w:cs="Times New Roman"/>
                <w:i/>
                <w:iCs/>
                <w:sz w:val="28"/>
                <w:szCs w:val="28"/>
                <w:lang w:val="uk-UA"/>
              </w:rPr>
              <w:t>- контекстуальне розуміння</w:t>
            </w:r>
            <w:r>
              <w:rPr>
                <w:rFonts w:ascii="Times New Roman" w:hAnsi="Times New Roman" w:cs="Times New Roman"/>
                <w:sz w:val="28"/>
                <w:szCs w:val="28"/>
                <w:lang w:val="uk-UA"/>
              </w:rPr>
              <w:t xml:space="preserve"> передбачає здатність оцінювати значення слів залежно від контексту;</w:t>
            </w:r>
          </w:p>
          <w:p w14:paraId="743779FC">
            <w:pPr>
              <w:rPr>
                <w:lang w:val="ru-RU"/>
              </w:rPr>
            </w:pPr>
            <w:r>
              <w:rPr>
                <w:rFonts w:ascii="Times New Roman" w:hAnsi="Times New Roman" w:cs="Times New Roman"/>
                <w:i/>
                <w:iCs/>
                <w:sz w:val="28"/>
                <w:szCs w:val="28"/>
                <w:lang w:val="ru-RU"/>
              </w:rPr>
              <w:t xml:space="preserve">- </w:t>
            </w:r>
            <w:r>
              <w:rPr>
                <w:rFonts w:ascii="Times New Roman" w:hAnsi="Times New Roman" w:cs="Times New Roman"/>
                <w:i/>
                <w:iCs/>
                <w:sz w:val="28"/>
                <w:szCs w:val="28"/>
                <w:lang w:val="uk-UA"/>
              </w:rPr>
              <w:t xml:space="preserve">виявлення синонімів і антонімів </w:t>
            </w:r>
            <w:r>
              <w:rPr>
                <w:rFonts w:ascii="Times New Roman" w:hAnsi="Times New Roman" w:cs="Times New Roman"/>
                <w:sz w:val="28"/>
                <w:szCs w:val="28"/>
                <w:lang w:val="uk-UA"/>
              </w:rPr>
              <w:t>дозволяє дітям різноманітно використовувати словниковий запас і точно передавати думки;</w:t>
            </w:r>
          </w:p>
          <w:p w14:paraId="69035422">
            <w:pPr>
              <w:rPr>
                <w:rFonts w:ascii="Times New Roman" w:hAnsi="Times New Roman" w:cs="Times New Roman"/>
                <w:i/>
                <w:sz w:val="28"/>
                <w:szCs w:val="28"/>
                <w:lang w:val="ru-RU"/>
              </w:rPr>
            </w:pPr>
            <w:r>
              <w:rPr>
                <w:rFonts w:ascii="Times New Roman" w:hAnsi="Times New Roman" w:cs="Times New Roman"/>
                <w:i/>
                <w:iCs/>
                <w:sz w:val="28"/>
                <w:szCs w:val="28"/>
                <w:lang w:val="ru-RU"/>
              </w:rPr>
              <w:t xml:space="preserve">- </w:t>
            </w:r>
            <w:r>
              <w:rPr>
                <w:rFonts w:ascii="Times New Roman" w:hAnsi="Times New Roman" w:cs="Times New Roman"/>
                <w:i/>
                <w:iCs/>
                <w:sz w:val="28"/>
                <w:szCs w:val="28"/>
                <w:lang w:val="uk-UA"/>
              </w:rPr>
              <w:t>смислові зв’язки</w:t>
            </w:r>
            <w:r>
              <w:rPr>
                <w:i/>
                <w:iCs/>
                <w:sz w:val="28"/>
                <w:szCs w:val="28"/>
                <w:lang w:val="uk-UA"/>
              </w:rPr>
              <w:t xml:space="preserve"> </w:t>
            </w:r>
            <w:r>
              <w:rPr>
                <w:rFonts w:ascii="Times New Roman" w:hAnsi="Times New Roman" w:cs="Times New Roman"/>
                <w:sz w:val="28"/>
                <w:szCs w:val="28"/>
                <w:lang w:val="uk-UA"/>
              </w:rPr>
              <w:t>полягають  в здатності встановлювати зв’язки між словами, які можуть бути концептуально пов’язані</w:t>
            </w:r>
          </w:p>
        </w:tc>
        <w:tc>
          <w:tcPr>
            <w:tcW w:w="2977" w:type="dxa"/>
          </w:tcPr>
          <w:p w14:paraId="03613945">
            <w:pPr>
              <w:rPr>
                <w:rFonts w:ascii="Times New Roman" w:hAnsi="Times New Roman" w:cs="Times New Roman"/>
                <w:sz w:val="28"/>
                <w:szCs w:val="28"/>
                <w:lang w:val="uk-UA"/>
              </w:rPr>
            </w:pPr>
            <w:r>
              <w:rPr>
                <w:rFonts w:ascii="Times New Roman" w:hAnsi="Times New Roman" w:cs="Times New Roman"/>
                <w:sz w:val="28"/>
                <w:szCs w:val="28"/>
                <w:lang w:val="uk-UA"/>
              </w:rPr>
              <w:t xml:space="preserve">«Зима–літо». Завдання: </w:t>
            </w:r>
            <w:r>
              <w:rPr>
                <w:rFonts w:ascii="Times New Roman" w:hAnsi="Times New Roman" w:cs="Times New Roman"/>
                <w:sz w:val="28"/>
                <w:szCs w:val="28"/>
                <w:lang w:val="ru-RU"/>
              </w:rPr>
              <w:t>логопед</w:t>
            </w:r>
            <w:r>
              <w:rPr>
                <w:rFonts w:ascii="Times New Roman" w:hAnsi="Times New Roman" w:cs="Times New Roman"/>
                <w:sz w:val="28"/>
                <w:szCs w:val="28"/>
                <w:lang w:val="uk-UA"/>
              </w:rPr>
              <w:t xml:space="preserve"> розкладає перед дитиною сюжетні картинки і поруч стопкою предметні картинки, дитина по черзі бере предметні картинки, визначає, до якої пори року вони відносяться, і кладе під відповідну сюжетну картинку</w:t>
            </w:r>
          </w:p>
          <w:p w14:paraId="44D9066A">
            <w:pPr>
              <w:rPr>
                <w:rFonts w:ascii="Times New Roman" w:hAnsi="Times New Roman" w:cs="Times New Roman"/>
                <w:i/>
                <w:sz w:val="28"/>
                <w:szCs w:val="28"/>
                <w:lang w:val="uk-UA"/>
              </w:rPr>
            </w:pPr>
          </w:p>
        </w:tc>
      </w:tr>
    </w:tbl>
    <w:p w14:paraId="0C970FC3">
      <w:pPr>
        <w:spacing w:line="360" w:lineRule="auto"/>
        <w:ind w:firstLine="709"/>
        <w:jc w:val="right"/>
        <w:rPr>
          <w:rFonts w:ascii="Times New Roman" w:hAnsi="Times New Roman" w:cs="Times New Roman"/>
          <w:i/>
          <w:sz w:val="28"/>
          <w:szCs w:val="28"/>
          <w:lang w:val="uk-UA"/>
        </w:rPr>
      </w:pPr>
    </w:p>
    <w:p w14:paraId="7DEF28A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Спочатку ми збирали загальні та медичні відомості про дитину за допомогою залучення батьків. Для кожної дитини дошкільного віку була застосована мовленнєва картка відповідно до методичних рекомендацій О. Приходько (додаток Б). </w:t>
      </w:r>
    </w:p>
    <w:p w14:paraId="20E38BF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проведеному нами дослідженні були використали такі критерії, які детально охарактеризуємо:</w:t>
      </w:r>
    </w:p>
    <w:p w14:paraId="5688BE0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b/>
          <w:bCs/>
          <w:sz w:val="28"/>
          <w:szCs w:val="28"/>
          <w:lang w:val="uk-UA"/>
        </w:rPr>
        <w:t xml:space="preserve">. </w:t>
      </w:r>
      <w:r>
        <w:rPr>
          <w:rFonts w:ascii="Times New Roman" w:hAnsi="Times New Roman" w:cs="Times New Roman"/>
          <w:b/>
          <w:bCs/>
          <w:i/>
          <w:sz w:val="28"/>
          <w:szCs w:val="28"/>
          <w:lang w:val="uk-UA"/>
        </w:rPr>
        <w:t>Сформованість різних рівнів лексичних узагальнень</w:t>
      </w:r>
      <w:r>
        <w:rPr>
          <w:rFonts w:ascii="Times New Roman" w:hAnsi="Times New Roman" w:cs="Times New Roman"/>
          <w:sz w:val="28"/>
          <w:szCs w:val="28"/>
          <w:lang w:val="uk-UA"/>
        </w:rPr>
        <w:t xml:space="preserve"> є ключовим критерієм у розвитку мовлення дітей. Цей процес допомагає зрозуміти, як діти опановують і структурують лексичний запас, формуючи зв’язки між словами і поняттями. Розглянемо детальніше різні показники лексичних узагальнень, які ми застосовували у дослідженні:</w:t>
      </w:r>
    </w:p>
    <w:p w14:paraId="3622CF6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к</w:t>
      </w:r>
      <w:r>
        <w:rPr>
          <w:rFonts w:ascii="Times New Roman" w:hAnsi="Times New Roman" w:cs="Times New Roman"/>
          <w:i/>
          <w:iCs/>
          <w:sz w:val="28"/>
          <w:szCs w:val="28"/>
          <w:lang w:val="uk-UA"/>
        </w:rPr>
        <w:t>атегоріальні узагальнення</w:t>
      </w:r>
      <w:r>
        <w:rPr>
          <w:rFonts w:ascii="Times New Roman" w:hAnsi="Times New Roman" w:cs="Times New Roman"/>
          <w:sz w:val="28"/>
          <w:szCs w:val="28"/>
          <w:lang w:val="uk-UA"/>
        </w:rPr>
        <w:t xml:space="preserve"> – цей показник застосовується як основа для класифікації слів за загальними ознаками. Вони дозволяють дітям групувати об’єкти, дії чи явища відповідно до їхніх спільних характеристик. Наприклад, слова тварина, рослина, предмет є категоріями, які об’єднують різноманітні елементи. Діти, які розвивають категоріальні узагальнення, навчаються бачити спільне в різних об’єктах і можуть використовувати ці знання для розширення свого лексичного запасу. Це важливий крок у формуванні абстрактного мислення та здатності до аналізу;</w:t>
      </w:r>
    </w:p>
    <w:p w14:paraId="751BA6A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Pr>
          <w:rFonts w:ascii="Times New Roman" w:hAnsi="Times New Roman" w:cs="Times New Roman"/>
          <w:i/>
          <w:iCs/>
          <w:sz w:val="28"/>
          <w:szCs w:val="28"/>
          <w:lang w:val="uk-UA"/>
        </w:rPr>
        <w:t>узагальнення, визначені контекстом</w:t>
      </w:r>
      <w:r>
        <w:rPr>
          <w:rFonts w:ascii="Times New Roman" w:hAnsi="Times New Roman" w:cs="Times New Roman"/>
          <w:sz w:val="28"/>
          <w:szCs w:val="28"/>
          <w:lang w:val="uk-UA"/>
        </w:rPr>
        <w:t xml:space="preserve"> – цей показник узагальнень передбачає, що значення слова може змінюватися в залежності від контексту, в якому воно вживається. Наприклад, слово ключ може означати як предмет для відкривання замка, так і метод розв’язання проблеми. Діти навчаються розпізнавати ці контекстуальні зміни, що дозволяє їм краще розуміти мову та адаптувати своє мовлення в різних ситуаціях. Це також сприяє розвитку гнучкості мислення, оскільки діти навчаються враховувати різні обставини та нюанси;</w:t>
      </w:r>
    </w:p>
    <w:p w14:paraId="573B9EE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Pr>
          <w:rFonts w:ascii="Times New Roman" w:hAnsi="Times New Roman" w:cs="Times New Roman"/>
          <w:i/>
          <w:iCs/>
          <w:sz w:val="28"/>
          <w:szCs w:val="28"/>
          <w:lang w:val="uk-UA"/>
        </w:rPr>
        <w:t>видові та родові поняття</w:t>
      </w:r>
      <w:r>
        <w:rPr>
          <w:rFonts w:ascii="Times New Roman" w:hAnsi="Times New Roman" w:cs="Times New Roman"/>
          <w:sz w:val="28"/>
          <w:szCs w:val="28"/>
          <w:lang w:val="uk-UA"/>
        </w:rPr>
        <w:t xml:space="preserve"> допомагають дітям зрозуміти зв’язки між загальними категоріями і конкретними об’єктами. Родове поняття об’єднує групу видів, тоді як видові поняття описують конкретні елементи в межах цієї групи. Наприклад, тварина є родовим поняттям, а кішка і собака – видовими. Опанування цими поняттями є важливим для розвитку логічного мислення і дозволяє дітям структурувати свої знання про світ; </w:t>
      </w:r>
    </w:p>
    <w:p w14:paraId="1D4CE2F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Pr>
          <w:rFonts w:ascii="Times New Roman" w:hAnsi="Times New Roman" w:cs="Times New Roman"/>
          <w:i/>
          <w:iCs/>
          <w:sz w:val="28"/>
          <w:szCs w:val="28"/>
          <w:lang w:val="uk-UA"/>
        </w:rPr>
        <w:t>визначення смислових зв’язків</w:t>
      </w:r>
      <w:r>
        <w:rPr>
          <w:rFonts w:ascii="Times New Roman" w:hAnsi="Times New Roman" w:cs="Times New Roman"/>
          <w:sz w:val="28"/>
          <w:szCs w:val="28"/>
          <w:lang w:val="uk-UA"/>
        </w:rPr>
        <w:t>, що лежать в основі концептуального співвіднесення слова – цей показник включає в себе вміння дітей розуміти та визначати зв'язки між словами та їх значеннями. Концептуальне співвіднесення слова передбачає, що діти навчаються встановлювати асоціативні зв’язки між словами, що можуть бути синонімічними, антонімічними або ж мати інші смислові відношення. Наприклад, слова гарний і поганий є антонімами, а дерево та ліс мають близькі смислові зв’язки. Це розуміння допомагає дітям формувати більш складні лексичні структури та збагачувати мовлення;</w:t>
      </w:r>
    </w:p>
    <w:p w14:paraId="32221E0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 </w:t>
      </w:r>
      <w:r>
        <w:rPr>
          <w:rFonts w:ascii="Times New Roman" w:hAnsi="Times New Roman" w:cs="Times New Roman"/>
          <w:i/>
          <w:iCs/>
          <w:sz w:val="28"/>
          <w:szCs w:val="28"/>
          <w:lang w:val="uk-UA"/>
        </w:rPr>
        <w:t>лексико-семантичні мовленнєві явища</w:t>
      </w:r>
      <w:r>
        <w:rPr>
          <w:rFonts w:ascii="Times New Roman" w:hAnsi="Times New Roman" w:cs="Times New Roman"/>
          <w:sz w:val="28"/>
          <w:szCs w:val="28"/>
          <w:lang w:val="uk-UA"/>
        </w:rPr>
        <w:t xml:space="preserve"> (багатозначність). Багатозначність слів є ще одним важливим аспектом формування лексичних узагальнень. Багато слів можуть мати кілька значень, залежно від контексту. Наприклад, слово лист може вказувати на частину рослини або на аркуш паперу. Діти, які розвивають розуміння багатозначності, навчаються адаптувати свої мовленнєві навички до різних ситуацій і контекстів, що є важливим для їхнього комунікативного розвитку.</w:t>
      </w:r>
    </w:p>
    <w:p w14:paraId="4079210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формування різних рівнів лексичних узагальнень є критично важливим для розвитку мовлення дітей. Це сприяє розвитку їхнього абстрактного мислення, розуміння смислових зв’язків та здатності адаптуватися до різних комунікативних ситуацій. Опанування цих навичок забезпечує дітям можливість ефективно взаємодіяти з навколишнім світом і збагачувати свій лексичний запас, що є основою для подальшого навчання та спілкування.</w:t>
      </w:r>
    </w:p>
    <w:p w14:paraId="1C21757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Pr>
          <w:rFonts w:ascii="Times New Roman" w:hAnsi="Times New Roman" w:cs="Times New Roman"/>
          <w:b/>
          <w:bCs/>
          <w:i/>
          <w:sz w:val="28"/>
          <w:szCs w:val="28"/>
          <w:lang w:val="uk-UA"/>
        </w:rPr>
        <w:t>Оволодіння похідними значеннями слова</w:t>
      </w:r>
      <w:r>
        <w:rPr>
          <w:rFonts w:ascii="Times New Roman" w:hAnsi="Times New Roman" w:cs="Times New Roman"/>
          <w:sz w:val="28"/>
          <w:szCs w:val="28"/>
          <w:lang w:val="uk-UA"/>
        </w:rPr>
        <w:t xml:space="preserve"> є важливим критерієм розвитку мовлення у дітей. Похідні значення слів дозволяють збагачувати мовлення, робити його більш виразним і конкретним. Розглянемо детально два підтипи похідних значень: для позначення зменшувально-пестливих форм та для позначення дитинчат тварин:</w:t>
      </w:r>
    </w:p>
    <w:p w14:paraId="5FF1635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Pr>
          <w:rFonts w:ascii="Times New Roman" w:hAnsi="Times New Roman" w:cs="Times New Roman"/>
          <w:i/>
          <w:iCs/>
          <w:sz w:val="28"/>
          <w:szCs w:val="28"/>
          <w:lang w:val="uk-UA"/>
        </w:rPr>
        <w:t>зменшувально-пестливі форми слів</w:t>
      </w:r>
      <w:r>
        <w:rPr>
          <w:rFonts w:ascii="Times New Roman" w:hAnsi="Times New Roman" w:cs="Times New Roman"/>
          <w:sz w:val="28"/>
          <w:szCs w:val="28"/>
          <w:lang w:val="uk-UA"/>
        </w:rPr>
        <w:t xml:space="preserve"> часто використовуються у спілкуванні з дітьми та між дорослими, щоб висловити ніжність, любов або прихильність. Ці форми є похідними від основних слів і змінюють їх значення, надаючи їм емоційного забарвлення. Наприклад, слово кіт може бути перетворене на котик, кошенятко, котеня. Оволодіння зменшувально-пестливими формами є важливим для розвитку емоційної складової мовлення. Діти навчаються виражати свої почуття, ставлення до інших людей, тварин або предметів. Ці форми слів допомагають створювати близькість у спілкуванні, що є важливим для соціалізації дітей. Важливо зазначити, що оволодіння зменшувально-пестливими формами вимагає певного рівня мовленнєвого розвитку. Діти спочатку використовують ці форми спонтанно, а згодом починають усвідомлено включати їх у своє мовлення. Наприклад, під час гри або спілкування з дорослими діти можуть використовувати зменшувально-пестливі форми для опису улюблених іграшок або тварин, показуючи своє емоційне ставлення;</w:t>
      </w:r>
    </w:p>
    <w:p w14:paraId="41DC9F4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Pr>
          <w:rFonts w:ascii="Times New Roman" w:hAnsi="Times New Roman" w:cs="Times New Roman"/>
          <w:i/>
          <w:iCs/>
          <w:sz w:val="28"/>
          <w:szCs w:val="28"/>
          <w:lang w:val="uk-UA"/>
        </w:rPr>
        <w:t>позначення дитинчат тварин</w:t>
      </w:r>
      <w:r>
        <w:rPr>
          <w:rFonts w:ascii="Times New Roman" w:hAnsi="Times New Roman" w:cs="Times New Roman"/>
          <w:sz w:val="28"/>
          <w:szCs w:val="28"/>
          <w:lang w:val="uk-UA"/>
        </w:rPr>
        <w:t xml:space="preserve"> також є важливим аспектом оволодіння похідними значеннями слів. Ці слова допомагають дітям не лише розширити свій словниковий запас, а й зрозуміти природу та навколишній світ. Наприклад, діти навчаються, що собака має дитинча щеня, а кішка – кошеня. Ці терміни формують уявлення про різноманіття живого світу і взаємозв’язки між різними видами. Оволодіння формами для позначення дитинчат тварин має також освітнє значення. Діти навчаються класифікувати тварин за видами та зрозуміти, як вони розвиваються з дитинчат у дорослі особини. Це сприяє розвитку пізнавальних навичок, таких як спостережливість і аналітичне мислення. Використання цих форм у спілкуванні також підсилює соціальні та емоційні навички дітей. Наприклад, під час гри з іграшковими тваринами або при спілкуванні про домашніх улюбленців діти можуть активно використовувати слова, що позначають дитинчат. Це дозволяє їм проявляти емоції, говорити про свої почуття, а також обговорювати різні ситуації, пов’язані з доглядом за тваринами.</w:t>
      </w:r>
    </w:p>
    <w:p w14:paraId="367D56F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оволодіння похідними значеннями слів є важливим етапом у мовленнєвому розвитку дітей. Зменшувально-пестливі форми та терміни для позначення дитинчат тварин збагачують мовлення, допомагають виражати емоції та сприяють пізнанню навколишнього світу. Цей процес є важливим для соціалізації дітей, розвитку їхнього словникового запасу та формування емоційної інтелігентності. Діти, які активно використовують похідні значення, краще адаптуються до різноманітних комунікативних ситуацій, що є основою їхнього подальшого розвитку.</w:t>
      </w:r>
    </w:p>
    <w:p w14:paraId="62CC1F7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Pr>
          <w:rFonts w:ascii="Times New Roman" w:hAnsi="Times New Roman" w:cs="Times New Roman"/>
          <w:b/>
          <w:bCs/>
          <w:i/>
          <w:sz w:val="28"/>
          <w:szCs w:val="28"/>
          <w:lang w:val="uk-UA"/>
        </w:rPr>
        <w:t>Прогнозування на лексичному рівні</w:t>
      </w:r>
      <w:r>
        <w:rPr>
          <w:rFonts w:ascii="Times New Roman" w:hAnsi="Times New Roman" w:cs="Times New Roman"/>
          <w:sz w:val="28"/>
          <w:szCs w:val="28"/>
          <w:lang w:val="uk-UA"/>
        </w:rPr>
        <w:t xml:space="preserve"> є важливим критерієм мовленнєвого розвитку, який стосується здатності дитини передбачати, які слова або звуки можуть з’явитися в мовленні в конкретному контексті. Цей процес поєднує знання про лексичні значення слів, їхнє звучання та структуру, що дозволяє дитині ефективно взаємодіяти в мовленні, розуміти і генерувати мовленнєві одиниці. Значення прогнозування на етапі формування лексичного компонента мовлення у дітей з мовленнєвими труднощами може проявлятися у наступних показниках:</w:t>
      </w:r>
    </w:p>
    <w:p w14:paraId="158F40E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Pr>
          <w:rFonts w:ascii="Times New Roman" w:hAnsi="Times New Roman" w:cs="Times New Roman"/>
          <w:i/>
          <w:iCs/>
          <w:sz w:val="28"/>
          <w:szCs w:val="28"/>
          <w:lang w:val="uk-UA"/>
        </w:rPr>
        <w:t>вдосконалення мовлення</w:t>
      </w:r>
      <w:r>
        <w:rPr>
          <w:rFonts w:ascii="Times New Roman" w:hAnsi="Times New Roman" w:cs="Times New Roman"/>
          <w:sz w:val="28"/>
          <w:szCs w:val="28"/>
          <w:lang w:val="uk-UA"/>
        </w:rPr>
        <w:t xml:space="preserve"> – прогнозування допомагає дітям не лише відтворювати слова, але й формувати граматично правильні речення. Це особливо важливо для розвитку мовленнєвих навичок, оскільки дитина вчиться не просто механічно повторювати слова, а застосовувати їх у відповідних контекстах;</w:t>
      </w:r>
    </w:p>
    <w:p w14:paraId="568714A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Pr>
          <w:rFonts w:ascii="Times New Roman" w:hAnsi="Times New Roman" w:cs="Times New Roman"/>
          <w:i/>
          <w:iCs/>
          <w:sz w:val="28"/>
          <w:szCs w:val="28"/>
          <w:lang w:val="uk-UA"/>
        </w:rPr>
        <w:t>сприяння комунікації</w:t>
      </w:r>
      <w:r>
        <w:rPr>
          <w:rFonts w:ascii="Times New Roman" w:hAnsi="Times New Roman" w:cs="Times New Roman"/>
          <w:sz w:val="28"/>
          <w:szCs w:val="28"/>
          <w:lang w:val="uk-UA"/>
        </w:rPr>
        <w:t xml:space="preserve"> – коли діти здатні прогнозувати, які слова можуть з’явитися в розмові, це робить їх спілкування більш ефективним. Вони можуть швидше реагувати на висловлювання співрозмовника, знижуючи ймовірність виникнення комунікативних бар’єрів;</w:t>
      </w:r>
    </w:p>
    <w:p w14:paraId="60A9B05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Pr>
          <w:rFonts w:ascii="Times New Roman" w:hAnsi="Times New Roman" w:cs="Times New Roman"/>
          <w:i/>
          <w:iCs/>
          <w:sz w:val="28"/>
          <w:szCs w:val="28"/>
          <w:lang w:val="uk-UA"/>
        </w:rPr>
        <w:t>розвиток слухового сприймання</w:t>
      </w:r>
      <w:r>
        <w:rPr>
          <w:rFonts w:ascii="Times New Roman" w:hAnsi="Times New Roman" w:cs="Times New Roman"/>
          <w:sz w:val="28"/>
          <w:szCs w:val="28"/>
          <w:lang w:val="uk-UA"/>
        </w:rPr>
        <w:t xml:space="preserve"> – прогнозування сприяє розвитку фонематичного слуху. Діти навчаються розрізняти звуки і слова, що є важливим для їхнього мовленнєвого розвитку. Коли дитина прогнозує, яке слово буде наступним, вона активно аналізує звукові та лексичні ознаки мовлення;</w:t>
      </w:r>
    </w:p>
    <w:p w14:paraId="753D588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Pr>
          <w:rFonts w:ascii="Times New Roman" w:hAnsi="Times New Roman" w:cs="Times New Roman"/>
          <w:i/>
          <w:iCs/>
          <w:sz w:val="28"/>
          <w:szCs w:val="28"/>
          <w:lang w:val="uk-UA"/>
        </w:rPr>
        <w:t>стимулювання когнітивного розвитку</w:t>
      </w:r>
      <w:r>
        <w:rPr>
          <w:rFonts w:ascii="Times New Roman" w:hAnsi="Times New Roman" w:cs="Times New Roman"/>
          <w:sz w:val="28"/>
          <w:szCs w:val="28"/>
          <w:lang w:val="uk-UA"/>
        </w:rPr>
        <w:t xml:space="preserve"> – прогнозування є складним когнітивним процесом, який вимагає від дитини не лише знань про слова, а й розуміння контексту, у якому вони використовуються. Це сприяє розвитку аналітичного мислення, уяви і логіки.</w:t>
      </w:r>
    </w:p>
    <w:p w14:paraId="43D22D9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Процес прогнозування на етапі формування лексичного компонента мовлення у дітей з мовленнєвими труднощами відбувається через декілька етапів, а саме:</w:t>
      </w:r>
    </w:p>
    <w:p w14:paraId="7E643EA0">
      <w:pPr>
        <w:pStyle w:val="14"/>
        <w:numPr>
          <w:ilvl w:val="0"/>
          <w:numId w:val="2"/>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аналіз контексту – діти спочатку аналізують інформацію, яка вже була представлена в мовленні. Вони звертають увагу на теми розмови, слова, що вже були вжиті, та інтонаційні ознаки;</w:t>
      </w:r>
    </w:p>
    <w:p w14:paraId="69C176F2">
      <w:pPr>
        <w:pStyle w:val="14"/>
        <w:numPr>
          <w:ilvl w:val="0"/>
          <w:numId w:val="2"/>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використання знань про слова. На основі свого лексичного запасу і знань про фонологічні структури слів, діти формують припущення про те, які слова можуть з’явитися наступними. Це може включати знання про синоніми, антоніми та звукові комбінації;</w:t>
      </w:r>
    </w:p>
    <w:p w14:paraId="2CE1A291">
      <w:pPr>
        <w:pStyle w:val="14"/>
        <w:numPr>
          <w:ilvl w:val="0"/>
          <w:numId w:val="2"/>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генерація відповідей. На основі своїх прогнозів, діти формулюють свої висловлювання. Це може бути як усне мовлення, так і письмові відповіді.</w:t>
      </w:r>
    </w:p>
    <w:p w14:paraId="6E99B5D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Розглянемо деякі методики прогнозування, які були застосовані нами на констатувальному етапі дослідження: </w:t>
      </w:r>
    </w:p>
    <w:p w14:paraId="0050CCD7">
      <w:pPr>
        <w:pStyle w:val="14"/>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коли діти </w:t>
      </w:r>
      <w:r>
        <w:rPr>
          <w:rFonts w:ascii="Times New Roman" w:hAnsi="Times New Roman" w:cs="Times New Roman"/>
          <w:sz w:val="28"/>
          <w:szCs w:val="28"/>
          <w:lang w:val="ru-RU"/>
        </w:rPr>
        <w:t>слухають</w:t>
      </w:r>
      <w:r>
        <w:rPr>
          <w:rFonts w:ascii="Times New Roman" w:hAnsi="Times New Roman" w:cs="Times New Roman"/>
          <w:sz w:val="28"/>
          <w:szCs w:val="28"/>
          <w:lang w:val="uk-UA"/>
        </w:rPr>
        <w:t xml:space="preserve"> текст, вони можуть передбачати, яке слово буде далі, виходячи з контексту і звукових ознак слів. Наприклад, якщо в реченні є слово собака, дитина може з легкістю передбачити появу слова біжить, оскільки це логічне продовження;</w:t>
      </w:r>
    </w:p>
    <w:p w14:paraId="2214A238">
      <w:pPr>
        <w:pStyle w:val="14"/>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іграх, де потрібно добирати слова на основі певних умов, наприклад, знайди слово на букву А, діти прогнозують, які слова підходять під задані критерії. Це розвиває їхнє лексичне мислення;</w:t>
      </w:r>
    </w:p>
    <w:p w14:paraId="37A805CC">
      <w:pPr>
        <w:pStyle w:val="14"/>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спілкування з дорослими, коли дитина веде розмову з дорослим, вона може прогнозувати, що дорослий скаже далі, на основі попередніх фраз. Це допомагає їй активно брати участь у розмові, задавати запитання та давати відповіді.</w:t>
      </w:r>
    </w:p>
    <w:p w14:paraId="4566ED4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прогнозування на етапі формування лексичного компонента мовлення у дітей з мовленнєвими труднощами є важливим аспектом розвитку мовлення у дітей, що охоплює аналіз контексту, знання про слова та їх фонологічні характеристики. Цей процес не лише сприяє формуванню комунікативних навичок, а й розвиває когнітивні здібності дітей, їх слухове сприймання та мовленнєву гнучкість. Залучення дітей до активних мовленнєвих практик, які стимулюють прогнозування, є важливою умовою їхнього успішного мовленнєвого розвитку.</w:t>
      </w:r>
    </w:p>
    <w:p w14:paraId="286740E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Pr>
          <w:rFonts w:ascii="Times New Roman" w:hAnsi="Times New Roman" w:cs="Times New Roman"/>
          <w:b/>
          <w:bCs/>
          <w:i/>
          <w:sz w:val="28"/>
          <w:szCs w:val="28"/>
          <w:lang w:val="uk-UA"/>
        </w:rPr>
        <w:t>Семантичний контроль</w:t>
      </w:r>
      <w:r>
        <w:rPr>
          <w:rFonts w:ascii="Times New Roman" w:hAnsi="Times New Roman" w:cs="Times New Roman"/>
          <w:sz w:val="28"/>
          <w:szCs w:val="28"/>
          <w:lang w:val="uk-UA"/>
        </w:rPr>
        <w:t xml:space="preserve"> – це критерій, за допомогою якого індивід оцінює та регулює значення слів і висловлювань, що використовуються в мовленні. Це важлива складова мовленнєвого розвитку, яка дозволяє дітям адекватно сприймати і виробляти мовлення, а також розуміти значення слів у контексті. Семантичний контроль сприяє ефективному спілкуванню, запобігаючи непорозумінням і забезпечуючи точність у передачі інформації.</w:t>
      </w:r>
    </w:p>
    <w:p w14:paraId="2049D3E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 основних показників здійснення семантичного контролю ми віднесли:</w:t>
      </w:r>
    </w:p>
    <w:p w14:paraId="56E50C6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Pr>
          <w:rFonts w:ascii="Times New Roman" w:hAnsi="Times New Roman" w:cs="Times New Roman"/>
          <w:i/>
          <w:iCs/>
          <w:sz w:val="28"/>
          <w:szCs w:val="28"/>
          <w:lang w:val="uk-UA"/>
        </w:rPr>
        <w:t>оцінку значення слів</w:t>
      </w:r>
      <w:r>
        <w:rPr>
          <w:rFonts w:ascii="Times New Roman" w:hAnsi="Times New Roman" w:cs="Times New Roman"/>
          <w:sz w:val="28"/>
          <w:szCs w:val="28"/>
          <w:lang w:val="uk-UA"/>
        </w:rPr>
        <w:t xml:space="preserve"> – діти повинні вміти розрізняти різні значення слів, визначати їх роль у реченні та розуміти, як зміна одного слова може змінити сенс висловлювання. Це передбачає розвиток навичок аналізу і синтезу значень;</w:t>
      </w:r>
    </w:p>
    <w:p w14:paraId="04DAE22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Pr>
          <w:rFonts w:ascii="Times New Roman" w:hAnsi="Times New Roman" w:cs="Times New Roman"/>
          <w:i/>
          <w:iCs/>
          <w:sz w:val="28"/>
          <w:szCs w:val="28"/>
          <w:lang w:val="uk-UA"/>
        </w:rPr>
        <w:t>контекстуальне розуміння</w:t>
      </w:r>
      <w:r>
        <w:rPr>
          <w:rFonts w:ascii="Times New Roman" w:hAnsi="Times New Roman" w:cs="Times New Roman"/>
          <w:sz w:val="28"/>
          <w:szCs w:val="28"/>
          <w:lang w:val="uk-UA"/>
        </w:rPr>
        <w:t xml:space="preserve"> – семантичний контроль передбачає здатність оцінювати значення слів залежно від контексту, в якому вони вживаються. Діти навчаються спостерігати, як одне й те саме слово може мати різні значення в різних ситуаціях. Наприклад, слово ключ може означати предмет для відкривання дверей або метод розв’язання проблеми. Контекст допомагає дітям зрозуміти, яке саме значення є доречним у даній ситуації;</w:t>
      </w:r>
    </w:p>
    <w:p w14:paraId="312AB16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Pr>
          <w:rFonts w:ascii="Times New Roman" w:hAnsi="Times New Roman" w:cs="Times New Roman"/>
          <w:i/>
          <w:iCs/>
          <w:sz w:val="28"/>
          <w:szCs w:val="28"/>
          <w:lang w:val="uk-UA"/>
        </w:rPr>
        <w:t>виявлення синонімів і антонімів</w:t>
      </w:r>
      <w:r>
        <w:rPr>
          <w:rFonts w:ascii="Times New Roman" w:hAnsi="Times New Roman" w:cs="Times New Roman"/>
          <w:sz w:val="28"/>
          <w:szCs w:val="28"/>
          <w:lang w:val="uk-UA"/>
        </w:rPr>
        <w:t>. Семантичний контроль включає в себе знання про синоніми (слова, що мають схоже значення) та антоніми (слова, що мають протилежне значення). Це дозволяє дітям різноманітно використовувати словниковий запас і точно передавати думки;</w:t>
      </w:r>
    </w:p>
    <w:p w14:paraId="0DC3D6A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Pr>
          <w:rFonts w:ascii="Times New Roman" w:hAnsi="Times New Roman" w:cs="Times New Roman"/>
          <w:i/>
          <w:iCs/>
          <w:sz w:val="28"/>
          <w:szCs w:val="28"/>
          <w:lang w:val="uk-UA"/>
        </w:rPr>
        <w:t>смислові зв’язки</w:t>
      </w:r>
      <w:r>
        <w:rPr>
          <w:rFonts w:ascii="Times New Roman" w:hAnsi="Times New Roman" w:cs="Times New Roman"/>
          <w:sz w:val="28"/>
          <w:szCs w:val="28"/>
          <w:lang w:val="uk-UA"/>
        </w:rPr>
        <w:t>. Семантичний контроль також полягає в здатності встановлювати зв’язки між словами, які можуть бути концептуально пов’язані. Наприклад, слова літо і світло можуть асоціюватися з позитивними емоціями, що виникають під час сонячної погоди. Це допомагає дітям формувати більш глибоке розуміння лексики та її значення в житті.</w:t>
      </w:r>
    </w:p>
    <w:p w14:paraId="27D928A8">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Важливість семантичного контролю в розвитку мовлення на етапі формування лексичного компоненту сприяє наступному: </w:t>
      </w:r>
    </w:p>
    <w:p w14:paraId="076A8C7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покращенню комунікативних навичок. Діти, які мають високий рівень семантичного контролю, здатні краще формулювати свої думки і точно передавати їх іншим. Це знижує ймовірність виникнення непорозумінь у спілкуванні;</w:t>
      </w:r>
    </w:p>
    <w:p w14:paraId="6A2D9D9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 розвитку критичного мислення. Семантичний контроль спонукає дітей до аналізу і осмислення інформації, що є основою для розвитку критичного мислення. Вони навчаються не лише сприймати, а й осмислювати значення слів і висловлювань;</w:t>
      </w:r>
    </w:p>
    <w:p w14:paraId="63EA5C7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збагаченню словникового запасу. Діти, які активно використовують семантичний контроль, мають змогу розширити свій словниковий запас, оскільки вони навчаються вживати нові слова у відповідному контексті;</w:t>
      </w:r>
    </w:p>
    <w:p w14:paraId="6904F3B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 адаптація до різних комунікативних ситуацій. Семантичний контроль дозволяє дітям адаптувати своє мовлення до різних соціальних контекстів. Вони навчаються використовувати відповідну лексику в залежності від ситуації, учасників розмови і теми.</w:t>
      </w:r>
    </w:p>
    <w:p w14:paraId="638873E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семантичний контроль є важливим аспектом мовленнєвого розвитку, що впливає на комунікативні навички дітей, їхнє критичне мислення та здатність адаптувати своє мовлення до різних ситуацій. Розвиток семантичного контролю сприяє збагаченню словникового запасу і забезпечує точність у передачі значення, що є основою ефективного спілкування. Підтримка і стимуляція цього процесу у дітей є необхідними для їхнього успішного мовленнєвого розвитку та соціальної адаптації.</w:t>
      </w:r>
    </w:p>
    <w:p w14:paraId="288A234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Ми використовували наступні методики для діагностики рівня розвитку мовлення та виявлення специфічних особливостей розвитку лексичного компонента мовлення у дітей із загальним недорозвитком мовлення, а саме:</w:t>
      </w:r>
    </w:p>
    <w:p w14:paraId="7DEEF6C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Стабілізація слухового сприймання лексичного компонента. У перших двох спробах, описаних у додатку А, ми використовували пароніми, представлені як у парах, так і у вигляді послідовного ряду. Як зазначили Є. Ф. Соботович та І. В. Соботович у своїх дослідженнях, у процесі розвитку словникового запасу дитина здобуває навички використання семантичних функцій фонем і їх протиставлення на основі корисних (семантичних) ознак. Це проявляється у її здатності виявляти порушення семантико-морфологічної тотожності та зміни постійних характеристик фонем. Тому в третій спробі ми досліджували, на якому рівні сформовані навички слухового контролю у досліджуваних дітей. Для цього ми орієнтувалися на далекі звуки, беручи до уваги їх акустичні та артикуляційні особливості.</w:t>
      </w:r>
    </w:p>
    <w:p w14:paraId="6F133B2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Розуміння різних рівнів узагальнень лексики було досліджено наступним етапом. Увага була приділена аналізу сприймання дітьми із загальним недорозвитком мовленням різних рівнів лексичних узагальнень. Досліджувалося, як діти дошкільного віку уявляють собі категоріальні концепції, терміни, що визначаються контекстом, видові та родові поняття, а також їхню здатність встановлювати семантичні зв’язки, які утворюють основу концептуального співвідношення слів.</w:t>
      </w:r>
    </w:p>
    <w:p w14:paraId="7BC1266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Дослідження щодо розвиненості категоріальних лексичних узагальнень показує, що у сприйманні значення слів та понять дітьми існує зв’язок інтонаційної форми слова не лише з окремими предметами, а з усім класом однорідних об’єктів. Ця проблема була досліджена під час проведення експериментів 4-5, які описані у додатку А, і включали різні мовленнєві структури з поступовим ускладненням. Завдання було виконано через використання сенсорних еталонів, які діти повинні були запам’ятати під час тестування. У четвертій спробі використовувалися іменники у декількох варіантах з різним рівнем складності. </w:t>
      </w:r>
    </w:p>
    <w:p w14:paraId="0BBB396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Під час застосування восьмої спроби ми досліджували, наскільки успішно створюються контекстуально зумовлені узагальнення слів різної природи. Вдалість виконання цієї задачі значною мірою залежала від розвиненості слухової уваги, здатності запам’ятовувати нові слова в контексті та за допомогою зорового контролю.</w:t>
      </w:r>
    </w:p>
    <w:p w14:paraId="260BB17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У наших дослідженнях при виконанні проби 9-10 ми вивчали, як діти сприймають поняття роду, використовуючи матеріали, які добре відомі дітям. Якщо іграшки відповідали досвіду кожної дитини, то їжа або посуд зазвичай не викликали особливого інтересу у дошкільнят, окрім смакових відчуттів, що може призвести до гіршого запам’ятовування та розпізнаваності подібних понять у майбутньому. Для більшості досліджуваних дошкільнят із загальним недорозвитком мовлення, поняття одягу асоціюється з терміном речі, що ускладнює виконання завдання. Дитячі знання та уявлення про світ постійно оновлюються та розширюються, що сприяє розвитку їх лексичної системи. В процесі цього виникають логічні зв’язки між поняттями, а також усвідомлюється абстрактне значення слів шляхом порівняння предметів та визначення їх характеристик. </w:t>
      </w:r>
    </w:p>
    <w:p w14:paraId="1592C76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 Дослідження розвитку лексико-семантичних мовленнєвих явищ. В спробі 13 ми досліджували, як дошкільнята сприймають полісемію слів, приділяючи особливу увагу різним частинам мови, включаючи іменники та дієслова.</w:t>
      </w:r>
    </w:p>
    <w:p w14:paraId="3133DFB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 Дериваційна сутність слова є ключовою складовою його лексичного компонента. Лексичний компонент прояву дериваційної сутності слова визначається його предметним значенням, що закладено в корені, та дериваційним значенням, яке формується за допомогою словотвірних суфіксів. Дериваційне значення було проаналізовано на прикладах таких слів, як ті, що використовуються для вказівки на форми зменшено-пестливих та для опису молоденьких тварин. Дітям були запропоновані завдання, де намальовані об’єкти подавалися в парах та окремо. Виявилося, що завдання з парами зображень були більш зрозумілими, оскільки досліджувані діти із затримкою мовленнєвого розвитку легше сприймали різницю в значеннях названих предметів. Щоб полегшити завдання, дітям спочатку називали назву предмета, а потім його узагальнене поняття.</w:t>
      </w:r>
    </w:p>
    <w:p w14:paraId="31B7D76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 Прогнозування на лексичному рівні. Оскільки прогнозування є складовою частиною процесу розуміння, ми здійснили аналіз рівня сформованості цього вміння у досліджуваних дошкільників із затримкою мовленнєвого розвитку.</w:t>
      </w:r>
    </w:p>
    <w:p w14:paraId="3FD79DA9">
      <w:pPr>
        <w:spacing w:line="360" w:lineRule="auto"/>
        <w:ind w:firstLine="709"/>
        <w:jc w:val="both"/>
        <w:rPr>
          <w:rFonts w:ascii="Times New Roman" w:hAnsi="Times New Roman" w:cs="Times New Roman"/>
          <w:bCs/>
          <w:color w:val="000000"/>
          <w:sz w:val="28"/>
          <w:szCs w:val="28"/>
          <w:lang w:val="uk-UA"/>
        </w:rPr>
      </w:pPr>
      <w:r>
        <w:rPr>
          <w:rFonts w:ascii="Times New Roman" w:hAnsi="Times New Roman" w:cs="Times New Roman"/>
          <w:bCs/>
          <w:sz w:val="28"/>
          <w:szCs w:val="28"/>
          <w:lang w:val="uk-UA"/>
        </w:rPr>
        <w:t>Констатувальний експеримент</w:t>
      </w:r>
      <w:r>
        <w:rPr>
          <w:rFonts w:ascii="Times New Roman" w:hAnsi="Times New Roman" w:cs="Times New Roman"/>
          <w:sz w:val="28"/>
          <w:szCs w:val="28"/>
          <w:lang w:val="uk-UA"/>
        </w:rPr>
        <w:t xml:space="preserve"> було проведено у закладі </w:t>
      </w:r>
      <w:r>
        <w:rPr>
          <w:rFonts w:ascii="Times New Roman" w:hAnsi="Times New Roman"/>
          <w:sz w:val="28"/>
          <w:szCs w:val="28"/>
          <w:lang w:val="uk-UA"/>
        </w:rPr>
        <w:t>Przedszkole Montessori Słowiańska Wieża міста Гданськ, Польща</w:t>
      </w:r>
      <w:r>
        <w:rPr>
          <w:rFonts w:ascii="Times New Roman" w:hAnsi="Times New Roman" w:cs="Times New Roman"/>
          <w:sz w:val="28"/>
          <w:szCs w:val="28"/>
          <w:lang w:val="uk-UA"/>
        </w:rPr>
        <w:t>, де взяли участь 20 дітей віком від 5-6 років із затримкою мовленнєвого розвитку: по 10 дітей у контрольній групі (КГ) та експериментальній групі (ЕГ). Батьки цих дітей надали згоду на участь у дослідженні. Також ми отримали дозвіл від адміністрації закладу дошкільної освіти на проведення дослідження</w:t>
      </w:r>
      <w:r>
        <w:rPr>
          <w:rFonts w:ascii="Times New Roman" w:hAnsi="Times New Roman" w:cs="Times New Roman"/>
          <w:bCs/>
          <w:color w:val="000000"/>
          <w:sz w:val="28"/>
          <w:szCs w:val="28"/>
          <w:lang w:val="uk-UA"/>
        </w:rPr>
        <w:t xml:space="preserve">. </w:t>
      </w:r>
    </w:p>
    <w:p w14:paraId="2EF60C43">
      <w:pPr>
        <w:spacing w:line="360" w:lineRule="auto"/>
        <w:ind w:firstLine="709"/>
        <w:jc w:val="both"/>
        <w:rPr>
          <w:lang w:val="uk-UA"/>
        </w:rPr>
      </w:pPr>
      <w:r>
        <w:rPr>
          <w:rFonts w:ascii="Times New Roman" w:hAnsi="Times New Roman" w:cs="Times New Roman"/>
          <w:color w:val="000000"/>
          <w:sz w:val="28"/>
          <w:szCs w:val="28"/>
          <w:lang w:val="uk-UA"/>
        </w:rPr>
        <w:t>На заключному етапі ми здійснили</w:t>
      </w:r>
      <w:r>
        <w:rPr>
          <w:rFonts w:ascii="Times New Roman" w:hAnsi="Times New Roman" w:cs="Times New Roman"/>
          <w:b/>
          <w:color w:val="000000"/>
          <w:sz w:val="28"/>
          <w:szCs w:val="28"/>
          <w:lang w:val="uk-UA"/>
        </w:rPr>
        <w:t xml:space="preserve"> </w:t>
      </w:r>
      <w:r>
        <w:rPr>
          <w:rFonts w:ascii="Times New Roman" w:hAnsi="Times New Roman" w:cs="Times New Roman"/>
          <w:bCs/>
          <w:color w:val="000000"/>
          <w:sz w:val="28"/>
          <w:szCs w:val="28"/>
          <w:lang w:val="uk-UA"/>
        </w:rPr>
        <w:t>аналіз та узагальнення отриманих результатів констатувального дослідження.</w:t>
      </w:r>
    </w:p>
    <w:p w14:paraId="72CCF38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розроблення організаційних та методологічних засад констатувального етапу дослідження дав змогу підібрати відповідний діагностичний інструментарій для дослідження стану сформованості лексичного компонента мовлення у дітей дошкільного віку з мовленнєвими труднощами, зокрема методику визначення рівня мовленнєвого розвитку дітей дошкільного віку за авторством Ю. В. Рібцун та методику діагностики мовленнєвого розвитку за авторством І. М. Брушневської.</w:t>
      </w:r>
    </w:p>
    <w:p w14:paraId="2B0E0408">
      <w:pPr>
        <w:spacing w:line="360" w:lineRule="auto"/>
        <w:ind w:firstLine="709"/>
        <w:jc w:val="both"/>
        <w:rPr>
          <w:rFonts w:ascii="Times New Roman" w:hAnsi="Times New Roman" w:cs="Times New Roman"/>
          <w:sz w:val="28"/>
          <w:szCs w:val="28"/>
          <w:lang w:val="uk-UA"/>
        </w:rPr>
      </w:pPr>
    </w:p>
    <w:p w14:paraId="3D086546">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2.2 Характеристика рівнів сформованості лексичного компонента мовлення у дітей дошкільного віку з мовленнєвими труднощами</w:t>
      </w:r>
    </w:p>
    <w:p w14:paraId="78F56B8A">
      <w:pPr>
        <w:spacing w:line="360" w:lineRule="auto"/>
        <w:ind w:firstLine="709"/>
        <w:jc w:val="both"/>
        <w:rPr>
          <w:rFonts w:ascii="Times New Roman" w:hAnsi="Times New Roman" w:cs="Times New Roman"/>
          <w:sz w:val="28"/>
          <w:szCs w:val="28"/>
          <w:lang w:val="uk-UA"/>
        </w:rPr>
      </w:pPr>
    </w:p>
    <w:p w14:paraId="16CC181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Отримані нами результати емпіричного дослідження рівня сформованості лексичного компонента мовлення у дітей 5-6 років, які мають мовленнєві труднощі, представлено у таблиці 2.2.  Окрім кількісного аналізу отриманих нами результатів дослідження було проведено якісний аналіз виконання досліджуваними кожного із завдань.</w:t>
      </w:r>
    </w:p>
    <w:p w14:paraId="6D97F6C2">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3D2CCEDE">
      <w:pPr>
        <w:spacing w:line="360" w:lineRule="auto"/>
        <w:ind w:firstLine="709"/>
        <w:jc w:val="right"/>
        <w:rPr>
          <w:rFonts w:ascii="Times New Roman" w:hAnsi="Times New Roman" w:cs="Times New Roman"/>
          <w:i/>
          <w:sz w:val="28"/>
          <w:szCs w:val="28"/>
          <w:lang w:val="uk-UA"/>
        </w:rPr>
      </w:pPr>
      <w:r>
        <w:rPr>
          <w:rFonts w:ascii="Times New Roman" w:hAnsi="Times New Roman" w:cs="Times New Roman"/>
          <w:i/>
          <w:sz w:val="28"/>
          <w:szCs w:val="28"/>
          <w:lang w:val="uk-UA"/>
        </w:rPr>
        <w:t>Таблиця 2.2</w:t>
      </w:r>
    </w:p>
    <w:p w14:paraId="4880494C">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Результати емпіричного дослідження рівня сформованості лексичного компонента мовлення у дітей 5-6 років, які мають мовленнєві труднощі</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2693"/>
        <w:gridCol w:w="3119"/>
      </w:tblGrid>
      <w:tr w14:paraId="446B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Merge w:val="restart"/>
            <w:vAlign w:val="center"/>
          </w:tcPr>
          <w:p w14:paraId="51A8DD9E">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Рівні сформованості лексичного компоненту мовлення</w:t>
            </w:r>
          </w:p>
        </w:tc>
        <w:tc>
          <w:tcPr>
            <w:tcW w:w="5812" w:type="dxa"/>
            <w:gridSpan w:val="2"/>
            <w:vAlign w:val="center"/>
          </w:tcPr>
          <w:p w14:paraId="53908F99">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Досліджувані, кількість</w:t>
            </w:r>
          </w:p>
        </w:tc>
      </w:tr>
      <w:tr w14:paraId="6F29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Merge w:val="continue"/>
            <w:vAlign w:val="center"/>
          </w:tcPr>
          <w:p w14:paraId="6E25960D">
            <w:pPr>
              <w:jc w:val="center"/>
              <w:rPr>
                <w:rFonts w:ascii="Times New Roman" w:hAnsi="Times New Roman" w:cs="Times New Roman"/>
                <w:b/>
                <w:bCs/>
                <w:sz w:val="28"/>
                <w:szCs w:val="28"/>
                <w:lang w:val="uk-UA"/>
              </w:rPr>
            </w:pPr>
          </w:p>
        </w:tc>
        <w:tc>
          <w:tcPr>
            <w:tcW w:w="2693" w:type="dxa"/>
            <w:vAlign w:val="center"/>
          </w:tcPr>
          <w:p w14:paraId="5A86087D">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КГ (</w:t>
            </w:r>
            <w:r>
              <w:rPr>
                <w:rFonts w:ascii="Times New Roman" w:hAnsi="Times New Roman" w:cs="Times New Roman"/>
                <w:b/>
                <w:bCs/>
                <w:sz w:val="28"/>
                <w:szCs w:val="28"/>
              </w:rPr>
              <w:t>n=10)</w:t>
            </w:r>
          </w:p>
        </w:tc>
        <w:tc>
          <w:tcPr>
            <w:tcW w:w="3119" w:type="dxa"/>
            <w:vAlign w:val="center"/>
          </w:tcPr>
          <w:p w14:paraId="14FE9045">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ЕГ (</w:t>
            </w:r>
            <w:r>
              <w:rPr>
                <w:rFonts w:ascii="Times New Roman" w:hAnsi="Times New Roman" w:cs="Times New Roman"/>
                <w:b/>
                <w:bCs/>
                <w:sz w:val="28"/>
                <w:szCs w:val="28"/>
              </w:rPr>
              <w:t>n=10)</w:t>
            </w:r>
          </w:p>
        </w:tc>
      </w:tr>
      <w:tr w14:paraId="4DB38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2" w:type="dxa"/>
            <w:gridSpan w:val="3"/>
            <w:vAlign w:val="center"/>
          </w:tcPr>
          <w:p w14:paraId="4642854E">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Дослідження  стабілізація слухового сприймання</w:t>
            </w:r>
          </w:p>
        </w:tc>
      </w:tr>
      <w:tr w14:paraId="0E04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4BAEFF62">
            <w:pP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693" w:type="dxa"/>
            <w:vAlign w:val="center"/>
          </w:tcPr>
          <w:p w14:paraId="3BCB3200">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3119" w:type="dxa"/>
            <w:vAlign w:val="center"/>
          </w:tcPr>
          <w:p w14:paraId="6E89B32C">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r>
      <w:tr w14:paraId="2021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06F8E2BD">
            <w:pP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693" w:type="dxa"/>
            <w:vAlign w:val="center"/>
          </w:tcPr>
          <w:p w14:paraId="5A6D4ECB">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3119" w:type="dxa"/>
            <w:vAlign w:val="center"/>
          </w:tcPr>
          <w:p w14:paraId="646DD166">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14:paraId="4202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6A946123">
            <w:pP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693" w:type="dxa"/>
            <w:vAlign w:val="center"/>
          </w:tcPr>
          <w:p w14:paraId="4E9A1616">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3119" w:type="dxa"/>
            <w:vAlign w:val="center"/>
          </w:tcPr>
          <w:p w14:paraId="3FFC2D74">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r>
      <w:tr w14:paraId="60C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2" w:type="dxa"/>
            <w:gridSpan w:val="3"/>
            <w:vAlign w:val="center"/>
          </w:tcPr>
          <w:p w14:paraId="47A25F3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Розпізнавання різних рівнів лексичних узагальнень мовлення</w:t>
            </w:r>
          </w:p>
        </w:tc>
      </w:tr>
      <w:tr w14:paraId="6847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12B8B15B">
            <w:pP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693" w:type="dxa"/>
            <w:vAlign w:val="center"/>
          </w:tcPr>
          <w:p w14:paraId="1D33A06E">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3119" w:type="dxa"/>
            <w:vAlign w:val="center"/>
          </w:tcPr>
          <w:p w14:paraId="3E0DE9D2">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r>
      <w:tr w14:paraId="3EF90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11E76C1C">
            <w:pP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693" w:type="dxa"/>
            <w:vAlign w:val="center"/>
          </w:tcPr>
          <w:p w14:paraId="58AAA340">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3119" w:type="dxa"/>
            <w:vAlign w:val="center"/>
          </w:tcPr>
          <w:p w14:paraId="22567FC2">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14:paraId="2E7D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37326D85">
            <w:pP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693" w:type="dxa"/>
            <w:vAlign w:val="center"/>
          </w:tcPr>
          <w:p w14:paraId="30AC4EC3">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3119" w:type="dxa"/>
            <w:vAlign w:val="center"/>
          </w:tcPr>
          <w:p w14:paraId="130F1431">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r>
      <w:tr w14:paraId="3855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2" w:type="dxa"/>
            <w:gridSpan w:val="3"/>
            <w:vAlign w:val="center"/>
          </w:tcPr>
          <w:p w14:paraId="3C53F82A">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Визначення  рівня прояву дериваційного значення слів</w:t>
            </w:r>
          </w:p>
        </w:tc>
      </w:tr>
      <w:tr w14:paraId="531E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14072D4E">
            <w:pP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693" w:type="dxa"/>
            <w:vAlign w:val="center"/>
          </w:tcPr>
          <w:p w14:paraId="0A91925D">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3119" w:type="dxa"/>
            <w:vAlign w:val="center"/>
          </w:tcPr>
          <w:p w14:paraId="235AC83E">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r>
      <w:tr w14:paraId="1594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3B61E166">
            <w:pP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693" w:type="dxa"/>
            <w:vAlign w:val="center"/>
          </w:tcPr>
          <w:p w14:paraId="31A24CCB">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119" w:type="dxa"/>
            <w:vAlign w:val="center"/>
          </w:tcPr>
          <w:p w14:paraId="7B554901">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14:paraId="5C48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3E5329B9">
            <w:pP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693" w:type="dxa"/>
            <w:vAlign w:val="center"/>
          </w:tcPr>
          <w:p w14:paraId="5EE86928">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3119" w:type="dxa"/>
            <w:vAlign w:val="center"/>
          </w:tcPr>
          <w:p w14:paraId="0A649231">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r>
      <w:tr w14:paraId="52A4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2" w:type="dxa"/>
            <w:gridSpan w:val="3"/>
            <w:vAlign w:val="center"/>
          </w:tcPr>
          <w:p w14:paraId="1095F299">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Прогнозування  на лексичному рівні</w:t>
            </w:r>
          </w:p>
        </w:tc>
      </w:tr>
      <w:tr w14:paraId="1B7B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7082B392">
            <w:pP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693" w:type="dxa"/>
            <w:vAlign w:val="center"/>
          </w:tcPr>
          <w:p w14:paraId="54112377">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3119" w:type="dxa"/>
            <w:vAlign w:val="center"/>
          </w:tcPr>
          <w:p w14:paraId="414693D3">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r>
      <w:tr w14:paraId="1EC63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2BCAB4BD">
            <w:pP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693" w:type="dxa"/>
            <w:vAlign w:val="center"/>
          </w:tcPr>
          <w:p w14:paraId="2FB2C13E">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119" w:type="dxa"/>
            <w:vAlign w:val="center"/>
          </w:tcPr>
          <w:p w14:paraId="0A69839F">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14:paraId="58E0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14:paraId="62D46CF9">
            <w:pP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693" w:type="dxa"/>
            <w:vAlign w:val="center"/>
          </w:tcPr>
          <w:p w14:paraId="4B39A2BF">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3119" w:type="dxa"/>
            <w:vAlign w:val="center"/>
          </w:tcPr>
          <w:p w14:paraId="678510C4">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r>
    </w:tbl>
    <w:p w14:paraId="1A6705E5">
      <w:pPr>
        <w:spacing w:line="360" w:lineRule="auto"/>
        <w:ind w:firstLine="709"/>
        <w:jc w:val="both"/>
        <w:rPr>
          <w:rFonts w:ascii="Times New Roman" w:hAnsi="Times New Roman" w:cs="Times New Roman"/>
          <w:sz w:val="28"/>
          <w:szCs w:val="28"/>
          <w:lang w:val="uk-UA"/>
        </w:rPr>
      </w:pPr>
    </w:p>
    <w:p w14:paraId="07053AF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дослідженні брали участь дві групи дітей віком 5-6 років – контрольна та експериментальна – по 10 осіб у кожній. У всіх досліджуваних було виявлено загальний недорозвиток мовлення</w:t>
      </w:r>
      <w:r>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з медичною класифікацією F80 – розлади мовленнєвого розвитку.</w:t>
      </w:r>
    </w:p>
    <w:p w14:paraId="344130F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рівень виявляється у недостатній розвиненості лексичного мовлення; діти мають обмежений словниковий запас, що ускладнює формулювання думок та висловлювання власних ідей. Діти можуть вживати прості фрази, однак часто припускаються помилок у лексичному визначенні понять, що може свідчити про відсутність глибшого розуміння значення слів. </w:t>
      </w:r>
    </w:p>
    <w:p w14:paraId="4D8AB96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Знижена мовленнєва компетентність характеризується відчутною відсталістю лексики. Діти з цим рівнем володіння мовою мають стійкі мовленнєві проблеми: рівень розвитку зв’язного мовлення в них низький, хоча вони можуть розуміти усну мову. Їм складно виражати свої думки та почуття через обмежений словниковий запас, що може ускладнити розуміння усної мови та спілкування з оточенням. На даному етапі можна спостерігати стійкі лінгвістичні недоліки, які можуть бути пов’язані з невірним вимовлянням.</w:t>
      </w:r>
    </w:p>
    <w:p w14:paraId="64C195A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перевірки статистичної гіпотези про рівнозначність контрольної та експериментальної груп на початку дослідження нами було визначено наявність нормального розподілу в кожній досліджуваній групі та проведено математико-статистичний порівняльний аналіз отриманих показників розвитку лексичного компонента мовлення у дітей дошкільного віку з мовленнєвими труднощами за параметричним критерієм Стьюдента (табл. 2.3.).</w:t>
      </w:r>
    </w:p>
    <w:p w14:paraId="13478393">
      <w:pPr>
        <w:spacing w:line="360" w:lineRule="auto"/>
        <w:ind w:firstLine="709"/>
        <w:jc w:val="right"/>
        <w:rPr>
          <w:rFonts w:ascii="Times New Roman" w:hAnsi="Times New Roman" w:cs="Times New Roman"/>
          <w:i/>
          <w:iCs/>
          <w:sz w:val="28"/>
          <w:szCs w:val="28"/>
          <w:lang w:val="uk-UA"/>
        </w:rPr>
      </w:pPr>
      <w:r>
        <w:rPr>
          <w:rFonts w:ascii="Times New Roman" w:hAnsi="Times New Roman" w:cs="Times New Roman"/>
          <w:i/>
          <w:iCs/>
          <w:sz w:val="28"/>
          <w:szCs w:val="28"/>
          <w:lang w:val="uk-UA"/>
        </w:rPr>
        <w:t>Таблиця 2.3</w:t>
      </w:r>
    </w:p>
    <w:p w14:paraId="30851B20">
      <w:pPr>
        <w:spacing w:line="36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Результати порівняльного аналізу середніх показників сформованості лексичного компонента мовлення у дітей дошкільного віку з мовленнєвими труднощами на початку експерименту</w:t>
      </w:r>
    </w:p>
    <w:tbl>
      <w:tblPr>
        <w:tblStyle w:val="13"/>
        <w:tblW w:w="98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3"/>
        <w:gridCol w:w="1559"/>
        <w:gridCol w:w="1605"/>
        <w:gridCol w:w="1016"/>
        <w:gridCol w:w="1012"/>
      </w:tblGrid>
      <w:tr w14:paraId="4E0B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73" w:type="dxa"/>
            <w:vMerge w:val="restart"/>
            <w:vAlign w:val="center"/>
          </w:tcPr>
          <w:p w14:paraId="44242272">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Математико-статистичні характеристики</w:t>
            </w:r>
          </w:p>
        </w:tc>
        <w:tc>
          <w:tcPr>
            <w:tcW w:w="3164" w:type="dxa"/>
            <w:gridSpan w:val="2"/>
            <w:vAlign w:val="center"/>
          </w:tcPr>
          <w:p w14:paraId="3EE0F154">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Досліджувані </w:t>
            </w:r>
          </w:p>
        </w:tc>
        <w:tc>
          <w:tcPr>
            <w:tcW w:w="1016" w:type="dxa"/>
            <w:vMerge w:val="restart"/>
            <w:vAlign w:val="center"/>
          </w:tcPr>
          <w:p w14:paraId="08EABF62">
            <w:pPr>
              <w:jc w:val="center"/>
              <w:rPr>
                <w:rFonts w:ascii="Times New Roman" w:hAnsi="Times New Roman" w:cs="Times New Roman"/>
                <w:b/>
                <w:bCs/>
                <w:sz w:val="28"/>
                <w:szCs w:val="28"/>
                <w:lang w:val="uk-UA"/>
              </w:rPr>
            </w:pPr>
            <w:r>
              <w:rPr>
                <w:rFonts w:ascii="Times New Roman" w:hAnsi="Times New Roman" w:cs="Times New Roman"/>
                <w:b/>
                <w:bCs/>
                <w:sz w:val="28"/>
                <w:szCs w:val="28"/>
              </w:rPr>
              <w:t>t</w:t>
            </w:r>
            <w:r>
              <w:rPr>
                <w:rFonts w:ascii="Times New Roman" w:hAnsi="Times New Roman" w:cs="Times New Roman"/>
                <w:b/>
                <w:bCs/>
                <w:sz w:val="28"/>
                <w:szCs w:val="28"/>
                <w:lang w:val="uk-UA"/>
              </w:rPr>
              <w:t>*</w:t>
            </w:r>
          </w:p>
        </w:tc>
        <w:tc>
          <w:tcPr>
            <w:tcW w:w="1012" w:type="dxa"/>
            <w:vMerge w:val="restart"/>
            <w:vAlign w:val="center"/>
          </w:tcPr>
          <w:p w14:paraId="777F5153">
            <w:pPr>
              <w:jc w:val="center"/>
              <w:rPr>
                <w:rFonts w:ascii="Times New Roman" w:hAnsi="Times New Roman" w:cs="Times New Roman"/>
                <w:b/>
                <w:bCs/>
                <w:sz w:val="28"/>
                <w:szCs w:val="28"/>
                <w:lang w:val="uk-UA"/>
              </w:rPr>
            </w:pPr>
            <w:r>
              <w:rPr>
                <w:rFonts w:ascii="Times New Roman" w:hAnsi="Times New Roman" w:cs="Times New Roman"/>
                <w:b/>
                <w:bCs/>
                <w:sz w:val="28"/>
                <w:szCs w:val="28"/>
              </w:rPr>
              <w:t>p</w:t>
            </w:r>
          </w:p>
        </w:tc>
      </w:tr>
      <w:tr w14:paraId="5CD7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vAlign w:val="center"/>
          </w:tcPr>
          <w:p w14:paraId="1AB7CB1E">
            <w:pPr>
              <w:jc w:val="center"/>
              <w:rPr>
                <w:rFonts w:ascii="Times New Roman" w:hAnsi="Times New Roman" w:cs="Times New Roman"/>
                <w:sz w:val="28"/>
                <w:szCs w:val="28"/>
                <w:lang w:val="uk-UA"/>
              </w:rPr>
            </w:pPr>
          </w:p>
        </w:tc>
        <w:tc>
          <w:tcPr>
            <w:tcW w:w="1559" w:type="dxa"/>
            <w:vAlign w:val="center"/>
          </w:tcPr>
          <w:p w14:paraId="034018A4">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КГ (</w:t>
            </w:r>
            <w:r>
              <w:rPr>
                <w:rFonts w:ascii="Times New Roman" w:hAnsi="Times New Roman" w:cs="Times New Roman"/>
                <w:b/>
                <w:bCs/>
                <w:sz w:val="28"/>
                <w:szCs w:val="28"/>
              </w:rPr>
              <w:t>n=10)</w:t>
            </w:r>
          </w:p>
        </w:tc>
        <w:tc>
          <w:tcPr>
            <w:tcW w:w="1605" w:type="dxa"/>
            <w:vAlign w:val="center"/>
          </w:tcPr>
          <w:p w14:paraId="610F359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ЕГ (</w:t>
            </w:r>
            <w:r>
              <w:rPr>
                <w:rFonts w:ascii="Times New Roman" w:hAnsi="Times New Roman" w:cs="Times New Roman"/>
                <w:b/>
                <w:bCs/>
                <w:sz w:val="28"/>
                <w:szCs w:val="28"/>
              </w:rPr>
              <w:t>n=10)</w:t>
            </w:r>
          </w:p>
        </w:tc>
        <w:tc>
          <w:tcPr>
            <w:tcW w:w="1016" w:type="dxa"/>
            <w:vMerge w:val="continue"/>
            <w:vAlign w:val="center"/>
          </w:tcPr>
          <w:p w14:paraId="109B84D2">
            <w:pPr>
              <w:jc w:val="center"/>
              <w:rPr>
                <w:rFonts w:ascii="Times New Roman" w:hAnsi="Times New Roman" w:cs="Times New Roman"/>
                <w:sz w:val="28"/>
                <w:szCs w:val="28"/>
              </w:rPr>
            </w:pPr>
          </w:p>
        </w:tc>
        <w:tc>
          <w:tcPr>
            <w:tcW w:w="1012" w:type="dxa"/>
            <w:vMerge w:val="continue"/>
            <w:vAlign w:val="center"/>
          </w:tcPr>
          <w:p w14:paraId="6BB75354">
            <w:pPr>
              <w:jc w:val="center"/>
              <w:rPr>
                <w:rFonts w:ascii="Times New Roman" w:hAnsi="Times New Roman" w:cs="Times New Roman"/>
                <w:sz w:val="28"/>
                <w:szCs w:val="28"/>
                <w:lang w:val="uk-UA"/>
              </w:rPr>
            </w:pPr>
          </w:p>
        </w:tc>
      </w:tr>
      <w:tr w14:paraId="45F7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280B89A5">
            <w:pPr>
              <w:rPr>
                <w:rFonts w:ascii="Times New Roman" w:hAnsi="Times New Roman" w:cs="Times New Roman"/>
                <w:b/>
                <w:bCs/>
                <w:sz w:val="28"/>
                <w:szCs w:val="28"/>
                <w:lang w:val="ru-RU"/>
              </w:rPr>
            </w:pPr>
            <w:r>
              <w:rPr>
                <w:rFonts w:ascii="Times New Roman" w:hAnsi="Times New Roman" w:cs="Times New Roman"/>
                <w:b/>
                <w:bCs/>
                <w:sz w:val="28"/>
                <w:szCs w:val="28"/>
                <w:lang w:val="uk-UA"/>
              </w:rPr>
              <w:t>Середнє арифметичне та помилка репрезентативності, Хс±</w:t>
            </w:r>
            <w:r>
              <w:rPr>
                <w:rFonts w:ascii="Times New Roman" w:hAnsi="Times New Roman" w:cs="Times New Roman"/>
                <w:b/>
                <w:bCs/>
                <w:sz w:val="28"/>
                <w:szCs w:val="28"/>
              </w:rPr>
              <w:t>m</w:t>
            </w:r>
          </w:p>
        </w:tc>
        <w:tc>
          <w:tcPr>
            <w:tcW w:w="1559" w:type="dxa"/>
            <w:vAlign w:val="center"/>
          </w:tcPr>
          <w:p w14:paraId="162F002C">
            <w:pPr>
              <w:jc w:val="center"/>
              <w:rPr>
                <w:rFonts w:ascii="Times New Roman" w:hAnsi="Times New Roman" w:cs="Times New Roman"/>
                <w:sz w:val="28"/>
                <w:szCs w:val="28"/>
                <w:lang w:val="uk-UA"/>
              </w:rPr>
            </w:pPr>
            <w:r>
              <w:rPr>
                <w:rFonts w:ascii="Times New Roman" w:hAnsi="Times New Roman" w:cs="Times New Roman"/>
                <w:sz w:val="28"/>
                <w:szCs w:val="28"/>
                <w:lang w:val="uk-UA"/>
              </w:rPr>
              <w:t>28±2,08</w:t>
            </w:r>
          </w:p>
        </w:tc>
        <w:tc>
          <w:tcPr>
            <w:tcW w:w="1605" w:type="dxa"/>
            <w:vAlign w:val="center"/>
          </w:tcPr>
          <w:p w14:paraId="041A4BB5">
            <w:pPr>
              <w:jc w:val="center"/>
              <w:rPr>
                <w:rFonts w:ascii="Times New Roman" w:hAnsi="Times New Roman" w:cs="Times New Roman"/>
                <w:sz w:val="28"/>
                <w:szCs w:val="28"/>
                <w:lang w:val="uk-UA"/>
              </w:rPr>
            </w:pPr>
            <w:r>
              <w:rPr>
                <w:rFonts w:ascii="Times New Roman" w:hAnsi="Times New Roman" w:cs="Times New Roman"/>
                <w:sz w:val="28"/>
                <w:szCs w:val="28"/>
                <w:lang w:val="uk-UA"/>
              </w:rPr>
              <w:t>26,1±1,68</w:t>
            </w:r>
          </w:p>
        </w:tc>
        <w:tc>
          <w:tcPr>
            <w:tcW w:w="1016" w:type="dxa"/>
            <w:vMerge w:val="restart"/>
            <w:vAlign w:val="center"/>
          </w:tcPr>
          <w:p w14:paraId="19B38AD4">
            <w:pPr>
              <w:jc w:val="center"/>
              <w:rPr>
                <w:rFonts w:ascii="Times New Roman" w:hAnsi="Times New Roman" w:cs="Times New Roman"/>
                <w:sz w:val="28"/>
                <w:szCs w:val="28"/>
                <w:lang w:val="uk-UA"/>
              </w:rPr>
            </w:pPr>
            <w:r>
              <w:rPr>
                <w:rFonts w:ascii="Times New Roman" w:hAnsi="Times New Roman" w:cs="Times New Roman"/>
                <w:sz w:val="28"/>
                <w:szCs w:val="28"/>
                <w:lang w:val="uk-UA"/>
              </w:rPr>
              <w:t>0,71</w:t>
            </w:r>
          </w:p>
        </w:tc>
        <w:tc>
          <w:tcPr>
            <w:tcW w:w="1012" w:type="dxa"/>
            <w:vMerge w:val="restart"/>
            <w:vAlign w:val="center"/>
          </w:tcPr>
          <w:p w14:paraId="69CCACDC">
            <w:pPr>
              <w:jc w:val="center"/>
              <w:rPr>
                <w:rFonts w:ascii="Times New Roman" w:hAnsi="Times New Roman" w:cs="Times New Roman"/>
                <w:sz w:val="28"/>
                <w:szCs w:val="28"/>
                <w:lang w:val="uk-UA"/>
              </w:rPr>
            </w:pPr>
            <w:r>
              <w:rPr>
                <w:rFonts w:ascii="Times New Roman" w:hAnsi="Times New Roman" w:cs="Times New Roman"/>
                <w:sz w:val="28"/>
                <w:szCs w:val="28"/>
              </w:rPr>
              <w:t>&lt;</w:t>
            </w:r>
            <w:r>
              <w:rPr>
                <w:rFonts w:ascii="Times New Roman" w:hAnsi="Times New Roman" w:cs="Times New Roman"/>
                <w:sz w:val="28"/>
                <w:szCs w:val="28"/>
                <w:lang w:val="ru-RU"/>
              </w:rPr>
              <w:t>0,05</w:t>
            </w:r>
          </w:p>
        </w:tc>
      </w:tr>
      <w:tr w14:paraId="51ED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631D3681">
            <w:pPr>
              <w:rPr>
                <w:rFonts w:ascii="Times New Roman" w:hAnsi="Times New Roman" w:cs="Times New Roman"/>
                <w:b/>
                <w:bCs/>
                <w:sz w:val="28"/>
                <w:szCs w:val="28"/>
                <w:lang w:val="uk-UA"/>
              </w:rPr>
            </w:pPr>
            <w:r>
              <w:rPr>
                <w:rFonts w:ascii="Times New Roman" w:hAnsi="Times New Roman" w:cs="Times New Roman"/>
                <w:b/>
                <w:bCs/>
                <w:sz w:val="28"/>
                <w:szCs w:val="28"/>
                <w:lang w:val="uk-UA"/>
              </w:rPr>
              <w:t>Мода, Мо</w:t>
            </w:r>
          </w:p>
        </w:tc>
        <w:tc>
          <w:tcPr>
            <w:tcW w:w="1559" w:type="dxa"/>
            <w:vAlign w:val="center"/>
          </w:tcPr>
          <w:p w14:paraId="39AF7060">
            <w:pPr>
              <w:jc w:val="center"/>
              <w:rPr>
                <w:rFonts w:ascii="Times New Roman" w:hAnsi="Times New Roman" w:cs="Times New Roman"/>
                <w:sz w:val="28"/>
                <w:szCs w:val="28"/>
                <w:lang w:val="uk-UA"/>
              </w:rPr>
            </w:pPr>
            <w:r>
              <w:rPr>
                <w:rFonts w:ascii="Times New Roman" w:hAnsi="Times New Roman" w:cs="Times New Roman"/>
                <w:sz w:val="28"/>
                <w:szCs w:val="28"/>
                <w:lang w:val="uk-UA"/>
              </w:rPr>
              <w:t>30</w:t>
            </w:r>
          </w:p>
        </w:tc>
        <w:tc>
          <w:tcPr>
            <w:tcW w:w="1605" w:type="dxa"/>
            <w:vAlign w:val="center"/>
          </w:tcPr>
          <w:p w14:paraId="24D60B7A">
            <w:pPr>
              <w:jc w:val="center"/>
              <w:rPr>
                <w:rFonts w:ascii="Times New Roman" w:hAnsi="Times New Roman" w:cs="Times New Roman"/>
                <w:sz w:val="28"/>
                <w:szCs w:val="28"/>
                <w:lang w:val="uk-UA"/>
              </w:rPr>
            </w:pPr>
            <w:r>
              <w:rPr>
                <w:rFonts w:ascii="Times New Roman" w:hAnsi="Times New Roman" w:cs="Times New Roman"/>
                <w:sz w:val="28"/>
                <w:szCs w:val="28"/>
                <w:lang w:val="uk-UA"/>
              </w:rPr>
              <w:t>26</w:t>
            </w:r>
          </w:p>
        </w:tc>
        <w:tc>
          <w:tcPr>
            <w:tcW w:w="1016" w:type="dxa"/>
            <w:vMerge w:val="continue"/>
            <w:vAlign w:val="center"/>
          </w:tcPr>
          <w:p w14:paraId="4DBD5424">
            <w:pPr>
              <w:jc w:val="center"/>
              <w:rPr>
                <w:rFonts w:ascii="Times New Roman" w:hAnsi="Times New Roman" w:cs="Times New Roman"/>
                <w:sz w:val="28"/>
                <w:szCs w:val="28"/>
                <w:lang w:val="uk-UA"/>
              </w:rPr>
            </w:pPr>
          </w:p>
        </w:tc>
        <w:tc>
          <w:tcPr>
            <w:tcW w:w="1012" w:type="dxa"/>
            <w:vMerge w:val="continue"/>
            <w:vAlign w:val="center"/>
          </w:tcPr>
          <w:p w14:paraId="75D19098">
            <w:pPr>
              <w:jc w:val="center"/>
              <w:rPr>
                <w:rFonts w:ascii="Times New Roman" w:hAnsi="Times New Roman" w:cs="Times New Roman"/>
                <w:sz w:val="28"/>
                <w:szCs w:val="28"/>
                <w:lang w:val="uk-UA"/>
              </w:rPr>
            </w:pPr>
          </w:p>
        </w:tc>
      </w:tr>
      <w:tr w14:paraId="0286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7527F9BA">
            <w:pPr>
              <w:rPr>
                <w:rFonts w:ascii="Times New Roman" w:hAnsi="Times New Roman" w:cs="Times New Roman"/>
                <w:b/>
                <w:bCs/>
                <w:sz w:val="28"/>
                <w:szCs w:val="28"/>
                <w:lang w:val="uk-UA"/>
              </w:rPr>
            </w:pPr>
            <w:r>
              <w:rPr>
                <w:rFonts w:ascii="Times New Roman" w:hAnsi="Times New Roman" w:cs="Times New Roman"/>
                <w:b/>
                <w:bCs/>
                <w:sz w:val="28"/>
                <w:szCs w:val="28"/>
                <w:lang w:val="uk-UA"/>
              </w:rPr>
              <w:t>Медіана, Ме</w:t>
            </w:r>
          </w:p>
        </w:tc>
        <w:tc>
          <w:tcPr>
            <w:tcW w:w="1559" w:type="dxa"/>
            <w:vAlign w:val="center"/>
          </w:tcPr>
          <w:p w14:paraId="2467A9A2">
            <w:pPr>
              <w:jc w:val="center"/>
              <w:rPr>
                <w:rFonts w:ascii="Times New Roman" w:hAnsi="Times New Roman" w:cs="Times New Roman"/>
                <w:sz w:val="28"/>
                <w:szCs w:val="28"/>
                <w:lang w:val="uk-UA"/>
              </w:rPr>
            </w:pPr>
            <w:r>
              <w:rPr>
                <w:rFonts w:ascii="Times New Roman" w:hAnsi="Times New Roman" w:cs="Times New Roman"/>
                <w:sz w:val="28"/>
                <w:szCs w:val="28"/>
                <w:lang w:val="uk-UA"/>
              </w:rPr>
              <w:t>28,5</w:t>
            </w:r>
          </w:p>
        </w:tc>
        <w:tc>
          <w:tcPr>
            <w:tcW w:w="1605" w:type="dxa"/>
            <w:vAlign w:val="center"/>
          </w:tcPr>
          <w:p w14:paraId="7B11271E">
            <w:pPr>
              <w:jc w:val="center"/>
              <w:rPr>
                <w:rFonts w:ascii="Times New Roman" w:hAnsi="Times New Roman" w:cs="Times New Roman"/>
                <w:sz w:val="28"/>
                <w:szCs w:val="28"/>
                <w:lang w:val="uk-UA"/>
              </w:rPr>
            </w:pPr>
            <w:r>
              <w:rPr>
                <w:rFonts w:ascii="Times New Roman" w:hAnsi="Times New Roman" w:cs="Times New Roman"/>
                <w:sz w:val="28"/>
                <w:szCs w:val="28"/>
                <w:lang w:val="uk-UA"/>
              </w:rPr>
              <w:t>26</w:t>
            </w:r>
          </w:p>
        </w:tc>
        <w:tc>
          <w:tcPr>
            <w:tcW w:w="1016" w:type="dxa"/>
            <w:vMerge w:val="continue"/>
            <w:vAlign w:val="center"/>
          </w:tcPr>
          <w:p w14:paraId="365C4B13">
            <w:pPr>
              <w:jc w:val="center"/>
              <w:rPr>
                <w:rFonts w:ascii="Times New Roman" w:hAnsi="Times New Roman" w:cs="Times New Roman"/>
                <w:sz w:val="28"/>
                <w:szCs w:val="28"/>
                <w:lang w:val="uk-UA"/>
              </w:rPr>
            </w:pPr>
          </w:p>
        </w:tc>
        <w:tc>
          <w:tcPr>
            <w:tcW w:w="1012" w:type="dxa"/>
            <w:vMerge w:val="continue"/>
            <w:vAlign w:val="center"/>
          </w:tcPr>
          <w:p w14:paraId="7BF31560">
            <w:pPr>
              <w:jc w:val="center"/>
              <w:rPr>
                <w:rFonts w:ascii="Times New Roman" w:hAnsi="Times New Roman" w:cs="Times New Roman"/>
                <w:sz w:val="28"/>
                <w:szCs w:val="28"/>
                <w:lang w:val="uk-UA"/>
              </w:rPr>
            </w:pPr>
          </w:p>
        </w:tc>
      </w:tr>
      <w:tr w14:paraId="35C7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616B647D">
            <w:pPr>
              <w:rPr>
                <w:rFonts w:ascii="Times New Roman" w:hAnsi="Times New Roman" w:cs="Times New Roman"/>
                <w:b/>
                <w:bCs/>
                <w:sz w:val="28"/>
                <w:szCs w:val="28"/>
              </w:rPr>
            </w:pPr>
            <w:r>
              <w:rPr>
                <w:rFonts w:ascii="Times New Roman" w:hAnsi="Times New Roman" w:cs="Times New Roman"/>
                <w:b/>
                <w:bCs/>
                <w:sz w:val="28"/>
                <w:szCs w:val="28"/>
                <w:lang w:val="uk-UA"/>
              </w:rPr>
              <w:t xml:space="preserve">Стандартне відхилення, </w:t>
            </w:r>
            <w:r>
              <w:rPr>
                <w:rFonts w:ascii="Times New Roman" w:hAnsi="Times New Roman" w:cs="Times New Roman"/>
                <w:b/>
                <w:bCs/>
                <w:sz w:val="28"/>
                <w:szCs w:val="28"/>
              </w:rPr>
              <w:t>S</w:t>
            </w:r>
          </w:p>
        </w:tc>
        <w:tc>
          <w:tcPr>
            <w:tcW w:w="1559" w:type="dxa"/>
            <w:vAlign w:val="center"/>
          </w:tcPr>
          <w:p w14:paraId="56B6F66C">
            <w:pPr>
              <w:jc w:val="center"/>
              <w:rPr>
                <w:rFonts w:ascii="Times New Roman" w:hAnsi="Times New Roman" w:cs="Times New Roman"/>
                <w:sz w:val="28"/>
                <w:szCs w:val="28"/>
                <w:lang w:val="uk-UA"/>
              </w:rPr>
            </w:pPr>
            <w:r>
              <w:rPr>
                <w:rFonts w:ascii="Times New Roman" w:hAnsi="Times New Roman" w:cs="Times New Roman"/>
                <w:sz w:val="28"/>
                <w:szCs w:val="28"/>
                <w:lang w:val="uk-UA"/>
              </w:rPr>
              <w:t>6,58</w:t>
            </w:r>
          </w:p>
        </w:tc>
        <w:tc>
          <w:tcPr>
            <w:tcW w:w="1605" w:type="dxa"/>
            <w:vAlign w:val="center"/>
          </w:tcPr>
          <w:p w14:paraId="498F3BFB">
            <w:pPr>
              <w:jc w:val="center"/>
              <w:rPr>
                <w:rFonts w:ascii="Times New Roman" w:hAnsi="Times New Roman" w:cs="Times New Roman"/>
                <w:sz w:val="28"/>
                <w:szCs w:val="28"/>
                <w:lang w:val="uk-UA"/>
              </w:rPr>
            </w:pPr>
            <w:r>
              <w:rPr>
                <w:rFonts w:ascii="Times New Roman" w:hAnsi="Times New Roman" w:cs="Times New Roman"/>
                <w:sz w:val="28"/>
                <w:szCs w:val="28"/>
                <w:lang w:val="uk-UA"/>
              </w:rPr>
              <w:t>5,32</w:t>
            </w:r>
          </w:p>
        </w:tc>
        <w:tc>
          <w:tcPr>
            <w:tcW w:w="1016" w:type="dxa"/>
            <w:vMerge w:val="continue"/>
            <w:vAlign w:val="center"/>
          </w:tcPr>
          <w:p w14:paraId="3714A408">
            <w:pPr>
              <w:jc w:val="center"/>
              <w:rPr>
                <w:rFonts w:ascii="Times New Roman" w:hAnsi="Times New Roman" w:cs="Times New Roman"/>
                <w:sz w:val="28"/>
                <w:szCs w:val="28"/>
                <w:lang w:val="uk-UA"/>
              </w:rPr>
            </w:pPr>
          </w:p>
        </w:tc>
        <w:tc>
          <w:tcPr>
            <w:tcW w:w="1012" w:type="dxa"/>
            <w:vMerge w:val="continue"/>
            <w:vAlign w:val="center"/>
          </w:tcPr>
          <w:p w14:paraId="006333BD">
            <w:pPr>
              <w:jc w:val="center"/>
              <w:rPr>
                <w:rFonts w:ascii="Times New Roman" w:hAnsi="Times New Roman" w:cs="Times New Roman"/>
                <w:sz w:val="28"/>
                <w:szCs w:val="28"/>
                <w:lang w:val="uk-UA"/>
              </w:rPr>
            </w:pPr>
          </w:p>
        </w:tc>
      </w:tr>
      <w:tr w14:paraId="1C61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0ACFB578">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Дисперсія, </w:t>
            </w:r>
            <w:r>
              <w:rPr>
                <w:rFonts w:ascii="Times New Roman" w:hAnsi="Times New Roman" w:cs="Times New Roman"/>
                <w:b/>
                <w:bCs/>
                <w:sz w:val="28"/>
                <w:szCs w:val="28"/>
              </w:rPr>
              <w:t>D</w:t>
            </w:r>
          </w:p>
        </w:tc>
        <w:tc>
          <w:tcPr>
            <w:tcW w:w="1559" w:type="dxa"/>
            <w:vAlign w:val="center"/>
          </w:tcPr>
          <w:p w14:paraId="53AA38A2">
            <w:pPr>
              <w:jc w:val="center"/>
              <w:rPr>
                <w:rFonts w:ascii="Times New Roman" w:hAnsi="Times New Roman" w:cs="Times New Roman"/>
                <w:sz w:val="28"/>
                <w:szCs w:val="28"/>
                <w:lang w:val="uk-UA"/>
              </w:rPr>
            </w:pPr>
            <w:r>
              <w:rPr>
                <w:rFonts w:ascii="Times New Roman" w:hAnsi="Times New Roman" w:cs="Times New Roman"/>
                <w:sz w:val="28"/>
                <w:szCs w:val="28"/>
                <w:lang w:val="uk-UA"/>
              </w:rPr>
              <w:t>43,33</w:t>
            </w:r>
          </w:p>
        </w:tc>
        <w:tc>
          <w:tcPr>
            <w:tcW w:w="1605" w:type="dxa"/>
            <w:vAlign w:val="center"/>
          </w:tcPr>
          <w:p w14:paraId="0499F893">
            <w:pPr>
              <w:jc w:val="center"/>
              <w:rPr>
                <w:rFonts w:ascii="Times New Roman" w:hAnsi="Times New Roman" w:cs="Times New Roman"/>
                <w:sz w:val="28"/>
                <w:szCs w:val="28"/>
                <w:lang w:val="uk-UA"/>
              </w:rPr>
            </w:pPr>
            <w:r>
              <w:rPr>
                <w:rFonts w:ascii="Times New Roman" w:hAnsi="Times New Roman" w:cs="Times New Roman"/>
                <w:sz w:val="28"/>
                <w:szCs w:val="28"/>
                <w:lang w:val="uk-UA"/>
              </w:rPr>
              <w:t>28,32</w:t>
            </w:r>
          </w:p>
        </w:tc>
        <w:tc>
          <w:tcPr>
            <w:tcW w:w="1016" w:type="dxa"/>
            <w:vMerge w:val="continue"/>
            <w:vAlign w:val="center"/>
          </w:tcPr>
          <w:p w14:paraId="6CC912BE">
            <w:pPr>
              <w:jc w:val="center"/>
              <w:rPr>
                <w:rFonts w:ascii="Times New Roman" w:hAnsi="Times New Roman" w:cs="Times New Roman"/>
                <w:sz w:val="28"/>
                <w:szCs w:val="28"/>
                <w:lang w:val="uk-UA"/>
              </w:rPr>
            </w:pPr>
          </w:p>
        </w:tc>
        <w:tc>
          <w:tcPr>
            <w:tcW w:w="1012" w:type="dxa"/>
            <w:vMerge w:val="continue"/>
            <w:vAlign w:val="center"/>
          </w:tcPr>
          <w:p w14:paraId="79F93669">
            <w:pPr>
              <w:jc w:val="center"/>
              <w:rPr>
                <w:rFonts w:ascii="Times New Roman" w:hAnsi="Times New Roman" w:cs="Times New Roman"/>
                <w:sz w:val="28"/>
                <w:szCs w:val="28"/>
                <w:lang w:val="uk-UA"/>
              </w:rPr>
            </w:pPr>
          </w:p>
        </w:tc>
      </w:tr>
      <w:tr w14:paraId="363C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38CE2A80">
            <w:pPr>
              <w:rPr>
                <w:rFonts w:ascii="Times New Roman" w:hAnsi="Times New Roman" w:cs="Times New Roman"/>
                <w:b/>
                <w:bCs/>
                <w:sz w:val="28"/>
                <w:szCs w:val="28"/>
                <w:lang w:val="uk-UA"/>
              </w:rPr>
            </w:pPr>
            <w:r>
              <w:rPr>
                <w:rFonts w:ascii="Times New Roman" w:hAnsi="Times New Roman" w:cs="Times New Roman"/>
                <w:b/>
                <w:bCs/>
                <w:sz w:val="28"/>
                <w:szCs w:val="28"/>
                <w:lang w:val="uk-UA"/>
              </w:rPr>
              <w:t>Ексцес, Е</w:t>
            </w:r>
          </w:p>
        </w:tc>
        <w:tc>
          <w:tcPr>
            <w:tcW w:w="1559" w:type="dxa"/>
            <w:vAlign w:val="center"/>
          </w:tcPr>
          <w:p w14:paraId="60A0ADF0">
            <w:pPr>
              <w:jc w:val="center"/>
              <w:rPr>
                <w:rFonts w:ascii="Times New Roman" w:hAnsi="Times New Roman" w:cs="Times New Roman"/>
                <w:sz w:val="28"/>
                <w:szCs w:val="28"/>
                <w:lang w:val="uk-UA"/>
              </w:rPr>
            </w:pPr>
            <w:r>
              <w:rPr>
                <w:rFonts w:ascii="Times New Roman" w:hAnsi="Times New Roman" w:cs="Times New Roman"/>
                <w:sz w:val="28"/>
                <w:szCs w:val="28"/>
                <w:lang w:val="uk-UA"/>
              </w:rPr>
              <w:t>-0,73</w:t>
            </w:r>
          </w:p>
        </w:tc>
        <w:tc>
          <w:tcPr>
            <w:tcW w:w="1605" w:type="dxa"/>
            <w:vAlign w:val="center"/>
          </w:tcPr>
          <w:p w14:paraId="66D9E82E">
            <w:pPr>
              <w:jc w:val="center"/>
              <w:rPr>
                <w:rFonts w:ascii="Times New Roman" w:hAnsi="Times New Roman" w:cs="Times New Roman"/>
                <w:sz w:val="28"/>
                <w:szCs w:val="28"/>
                <w:lang w:val="uk-UA"/>
              </w:rPr>
            </w:pPr>
            <w:r>
              <w:rPr>
                <w:rFonts w:ascii="Times New Roman" w:hAnsi="Times New Roman" w:cs="Times New Roman"/>
                <w:sz w:val="28"/>
                <w:szCs w:val="28"/>
                <w:lang w:val="uk-UA"/>
              </w:rPr>
              <w:t>-0,52</w:t>
            </w:r>
          </w:p>
        </w:tc>
        <w:tc>
          <w:tcPr>
            <w:tcW w:w="1016" w:type="dxa"/>
            <w:vMerge w:val="continue"/>
            <w:vAlign w:val="center"/>
          </w:tcPr>
          <w:p w14:paraId="20EB5CE2">
            <w:pPr>
              <w:jc w:val="center"/>
              <w:rPr>
                <w:rFonts w:ascii="Times New Roman" w:hAnsi="Times New Roman" w:cs="Times New Roman"/>
                <w:sz w:val="28"/>
                <w:szCs w:val="28"/>
                <w:lang w:val="uk-UA"/>
              </w:rPr>
            </w:pPr>
          </w:p>
        </w:tc>
        <w:tc>
          <w:tcPr>
            <w:tcW w:w="1012" w:type="dxa"/>
            <w:vMerge w:val="continue"/>
            <w:vAlign w:val="center"/>
          </w:tcPr>
          <w:p w14:paraId="47D16377">
            <w:pPr>
              <w:jc w:val="center"/>
              <w:rPr>
                <w:rFonts w:ascii="Times New Roman" w:hAnsi="Times New Roman" w:cs="Times New Roman"/>
                <w:sz w:val="28"/>
                <w:szCs w:val="28"/>
                <w:lang w:val="uk-UA"/>
              </w:rPr>
            </w:pPr>
          </w:p>
        </w:tc>
      </w:tr>
      <w:tr w14:paraId="3CF7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6903E263">
            <w:pPr>
              <w:rPr>
                <w:rFonts w:ascii="Times New Roman" w:hAnsi="Times New Roman" w:cs="Times New Roman"/>
                <w:b/>
                <w:bCs/>
                <w:sz w:val="28"/>
                <w:szCs w:val="28"/>
                <w:lang w:val="uk-UA"/>
              </w:rPr>
            </w:pPr>
            <w:r>
              <w:rPr>
                <w:rFonts w:ascii="Times New Roman" w:hAnsi="Times New Roman" w:cs="Times New Roman"/>
                <w:b/>
                <w:bCs/>
                <w:sz w:val="28"/>
                <w:szCs w:val="28"/>
                <w:lang w:val="uk-UA"/>
              </w:rPr>
              <w:t>Асиметрія, А</w:t>
            </w:r>
          </w:p>
        </w:tc>
        <w:tc>
          <w:tcPr>
            <w:tcW w:w="1559" w:type="dxa"/>
            <w:vAlign w:val="center"/>
          </w:tcPr>
          <w:p w14:paraId="0C7D104E">
            <w:pPr>
              <w:jc w:val="center"/>
              <w:rPr>
                <w:rFonts w:ascii="Times New Roman" w:hAnsi="Times New Roman" w:cs="Times New Roman"/>
                <w:sz w:val="28"/>
                <w:szCs w:val="28"/>
                <w:lang w:val="uk-UA"/>
              </w:rPr>
            </w:pPr>
            <w:r>
              <w:rPr>
                <w:rFonts w:ascii="Times New Roman" w:hAnsi="Times New Roman" w:cs="Times New Roman"/>
                <w:sz w:val="28"/>
                <w:szCs w:val="28"/>
                <w:lang w:val="uk-UA"/>
              </w:rPr>
              <w:t>0,01</w:t>
            </w:r>
          </w:p>
        </w:tc>
        <w:tc>
          <w:tcPr>
            <w:tcW w:w="1605" w:type="dxa"/>
            <w:vAlign w:val="center"/>
          </w:tcPr>
          <w:p w14:paraId="312A4068">
            <w:pPr>
              <w:jc w:val="center"/>
              <w:rPr>
                <w:rFonts w:ascii="Times New Roman" w:hAnsi="Times New Roman" w:cs="Times New Roman"/>
                <w:sz w:val="28"/>
                <w:szCs w:val="28"/>
                <w:lang w:val="uk-UA"/>
              </w:rPr>
            </w:pPr>
            <w:r>
              <w:rPr>
                <w:rFonts w:ascii="Times New Roman" w:hAnsi="Times New Roman" w:cs="Times New Roman"/>
                <w:sz w:val="28"/>
                <w:szCs w:val="28"/>
                <w:lang w:val="uk-UA"/>
              </w:rPr>
              <w:t>-0,07</w:t>
            </w:r>
          </w:p>
        </w:tc>
        <w:tc>
          <w:tcPr>
            <w:tcW w:w="1016" w:type="dxa"/>
            <w:vMerge w:val="continue"/>
            <w:vAlign w:val="center"/>
          </w:tcPr>
          <w:p w14:paraId="618B8E6B">
            <w:pPr>
              <w:jc w:val="center"/>
              <w:rPr>
                <w:rFonts w:ascii="Times New Roman" w:hAnsi="Times New Roman" w:cs="Times New Roman"/>
                <w:sz w:val="28"/>
                <w:szCs w:val="28"/>
                <w:lang w:val="uk-UA"/>
              </w:rPr>
            </w:pPr>
          </w:p>
        </w:tc>
        <w:tc>
          <w:tcPr>
            <w:tcW w:w="1012" w:type="dxa"/>
            <w:vMerge w:val="continue"/>
            <w:vAlign w:val="center"/>
          </w:tcPr>
          <w:p w14:paraId="451DBE95">
            <w:pPr>
              <w:jc w:val="center"/>
              <w:rPr>
                <w:rFonts w:ascii="Times New Roman" w:hAnsi="Times New Roman" w:cs="Times New Roman"/>
                <w:sz w:val="28"/>
                <w:szCs w:val="28"/>
                <w:lang w:val="uk-UA"/>
              </w:rPr>
            </w:pPr>
          </w:p>
        </w:tc>
      </w:tr>
      <w:tr w14:paraId="4328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Align w:val="center"/>
          </w:tcPr>
          <w:p w14:paraId="5C82B9D4">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Коефіцієнт варіації, </w:t>
            </w:r>
            <w:r>
              <w:rPr>
                <w:rFonts w:ascii="Times New Roman" w:hAnsi="Times New Roman" w:cs="Times New Roman"/>
                <w:b/>
                <w:bCs/>
                <w:sz w:val="28"/>
                <w:szCs w:val="28"/>
              </w:rPr>
              <w:t>V</w:t>
            </w:r>
          </w:p>
        </w:tc>
        <w:tc>
          <w:tcPr>
            <w:tcW w:w="1559" w:type="dxa"/>
            <w:vAlign w:val="center"/>
          </w:tcPr>
          <w:p w14:paraId="28A45E9D">
            <w:pPr>
              <w:jc w:val="center"/>
              <w:rPr>
                <w:rFonts w:ascii="Times New Roman" w:hAnsi="Times New Roman" w:cs="Times New Roman"/>
                <w:sz w:val="28"/>
                <w:szCs w:val="28"/>
                <w:lang w:val="uk-UA"/>
              </w:rPr>
            </w:pPr>
            <w:r>
              <w:rPr>
                <w:rFonts w:ascii="Times New Roman" w:hAnsi="Times New Roman" w:cs="Times New Roman"/>
                <w:sz w:val="28"/>
                <w:szCs w:val="28"/>
                <w:lang w:val="uk-UA"/>
              </w:rPr>
              <w:t>24%</w:t>
            </w:r>
          </w:p>
        </w:tc>
        <w:tc>
          <w:tcPr>
            <w:tcW w:w="1605" w:type="dxa"/>
            <w:vAlign w:val="center"/>
          </w:tcPr>
          <w:p w14:paraId="558177BD">
            <w:pPr>
              <w:jc w:val="center"/>
              <w:rPr>
                <w:rFonts w:ascii="Times New Roman" w:hAnsi="Times New Roman" w:cs="Times New Roman"/>
                <w:sz w:val="28"/>
                <w:szCs w:val="28"/>
                <w:lang w:val="uk-UA"/>
              </w:rPr>
            </w:pPr>
            <w:r>
              <w:rPr>
                <w:rFonts w:ascii="Times New Roman" w:hAnsi="Times New Roman" w:cs="Times New Roman"/>
                <w:sz w:val="28"/>
                <w:szCs w:val="28"/>
                <w:lang w:val="uk-UA"/>
              </w:rPr>
              <w:t>20%</w:t>
            </w:r>
          </w:p>
        </w:tc>
        <w:tc>
          <w:tcPr>
            <w:tcW w:w="1016" w:type="dxa"/>
            <w:vMerge w:val="continue"/>
            <w:vAlign w:val="center"/>
          </w:tcPr>
          <w:p w14:paraId="6EDCE47E">
            <w:pPr>
              <w:jc w:val="center"/>
              <w:rPr>
                <w:rFonts w:ascii="Times New Roman" w:hAnsi="Times New Roman" w:cs="Times New Roman"/>
                <w:sz w:val="28"/>
                <w:szCs w:val="28"/>
                <w:lang w:val="uk-UA"/>
              </w:rPr>
            </w:pPr>
          </w:p>
        </w:tc>
        <w:tc>
          <w:tcPr>
            <w:tcW w:w="1012" w:type="dxa"/>
            <w:vMerge w:val="continue"/>
            <w:vAlign w:val="center"/>
          </w:tcPr>
          <w:p w14:paraId="684BEB4F">
            <w:pPr>
              <w:jc w:val="center"/>
              <w:rPr>
                <w:rFonts w:ascii="Times New Roman" w:hAnsi="Times New Roman" w:cs="Times New Roman"/>
                <w:sz w:val="28"/>
                <w:szCs w:val="28"/>
                <w:lang w:val="uk-UA"/>
              </w:rPr>
            </w:pPr>
          </w:p>
        </w:tc>
      </w:tr>
    </w:tbl>
    <w:p w14:paraId="00B6C10C">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uk-UA"/>
        </w:rPr>
        <w:t xml:space="preserve">*при </w:t>
      </w:r>
      <w:r>
        <w:rPr>
          <w:rFonts w:ascii="Times New Roman" w:hAnsi="Times New Roman" w:cs="Times New Roman"/>
          <w:sz w:val="24"/>
          <w:szCs w:val="24"/>
        </w:rPr>
        <w:t>n</w:t>
      </w:r>
      <w:r>
        <w:rPr>
          <w:rFonts w:ascii="Times New Roman" w:hAnsi="Times New Roman" w:cs="Times New Roman"/>
          <w:sz w:val="24"/>
          <w:szCs w:val="24"/>
          <w:lang w:val="ru-RU"/>
        </w:rPr>
        <w:t xml:space="preserve">=10 </w:t>
      </w:r>
      <w:r>
        <w:rPr>
          <w:rFonts w:ascii="Times New Roman" w:hAnsi="Times New Roman" w:cs="Times New Roman"/>
          <w:sz w:val="24"/>
          <w:szCs w:val="24"/>
          <w:lang w:val="uk-UA"/>
        </w:rPr>
        <w:t xml:space="preserve">табличне значення </w:t>
      </w:r>
      <w:r>
        <w:rPr>
          <w:rFonts w:ascii="Times New Roman" w:hAnsi="Times New Roman" w:cs="Times New Roman"/>
          <w:sz w:val="24"/>
          <w:szCs w:val="24"/>
        </w:rPr>
        <w:t>t</w:t>
      </w:r>
      <w:r>
        <w:rPr>
          <w:rFonts w:ascii="Times New Roman" w:hAnsi="Times New Roman" w:cs="Times New Roman"/>
          <w:sz w:val="24"/>
          <w:szCs w:val="24"/>
          <w:lang w:val="ru-RU"/>
        </w:rPr>
        <w:t>=</w:t>
      </w:r>
      <w:r>
        <w:rPr>
          <w:rFonts w:ascii="Times New Roman" w:hAnsi="Times New Roman" w:cs="Times New Roman"/>
          <w:sz w:val="24"/>
          <w:szCs w:val="24"/>
          <w:lang w:val="uk-UA"/>
        </w:rPr>
        <w:t xml:space="preserve">2,23, </w:t>
      </w:r>
      <w:r>
        <w:rPr>
          <w:rFonts w:ascii="Times New Roman" w:hAnsi="Times New Roman" w:cs="Times New Roman"/>
          <w:sz w:val="24"/>
          <w:szCs w:val="24"/>
        </w:rPr>
        <w:t>p</w:t>
      </w:r>
      <w:r>
        <w:rPr>
          <w:rFonts w:ascii="Times New Roman" w:hAnsi="Times New Roman" w:cs="Times New Roman"/>
          <w:sz w:val="24"/>
          <w:szCs w:val="24"/>
          <w:lang w:val="ru-RU"/>
        </w:rPr>
        <w:t xml:space="preserve">&gt;0,05; </w:t>
      </w:r>
      <w:r>
        <w:rPr>
          <w:rFonts w:ascii="Times New Roman" w:hAnsi="Times New Roman" w:cs="Times New Roman"/>
          <w:sz w:val="24"/>
          <w:szCs w:val="24"/>
        </w:rPr>
        <w:t>t</w:t>
      </w:r>
      <w:r>
        <w:rPr>
          <w:rFonts w:ascii="Times New Roman" w:hAnsi="Times New Roman" w:cs="Times New Roman"/>
          <w:sz w:val="24"/>
          <w:szCs w:val="24"/>
          <w:lang w:val="ru-RU"/>
        </w:rPr>
        <w:t>=3,17</w:t>
      </w:r>
      <w:r>
        <w:rPr>
          <w:rFonts w:ascii="Times New Roman" w:hAnsi="Times New Roman" w:cs="Times New Roman"/>
          <w:sz w:val="24"/>
          <w:szCs w:val="24"/>
          <w:lang w:val="uk-UA"/>
        </w:rPr>
        <w:t xml:space="preserve">, </w:t>
      </w:r>
      <w:r>
        <w:rPr>
          <w:rFonts w:ascii="Times New Roman" w:hAnsi="Times New Roman" w:cs="Times New Roman"/>
          <w:sz w:val="24"/>
          <w:szCs w:val="24"/>
        </w:rPr>
        <w:t>p</w:t>
      </w:r>
      <w:r>
        <w:rPr>
          <w:rFonts w:ascii="Times New Roman" w:hAnsi="Times New Roman" w:cs="Times New Roman"/>
          <w:sz w:val="24"/>
          <w:szCs w:val="24"/>
          <w:lang w:val="ru-RU"/>
        </w:rPr>
        <w:t xml:space="preserve">&gt;0,01; </w:t>
      </w:r>
      <w:r>
        <w:rPr>
          <w:rFonts w:ascii="Times New Roman" w:hAnsi="Times New Roman" w:cs="Times New Roman"/>
          <w:sz w:val="24"/>
          <w:szCs w:val="24"/>
        </w:rPr>
        <w:t>t</w:t>
      </w:r>
      <w:r>
        <w:rPr>
          <w:rFonts w:ascii="Times New Roman" w:hAnsi="Times New Roman" w:cs="Times New Roman"/>
          <w:sz w:val="24"/>
          <w:szCs w:val="24"/>
          <w:lang w:val="ru-RU"/>
        </w:rPr>
        <w:t>=4,59</w:t>
      </w:r>
      <w:r>
        <w:rPr>
          <w:rFonts w:ascii="Times New Roman" w:hAnsi="Times New Roman" w:cs="Times New Roman"/>
          <w:sz w:val="24"/>
          <w:szCs w:val="24"/>
          <w:lang w:val="uk-UA"/>
        </w:rPr>
        <w:t xml:space="preserve">, </w:t>
      </w:r>
      <w:r>
        <w:rPr>
          <w:rFonts w:ascii="Times New Roman" w:hAnsi="Times New Roman" w:cs="Times New Roman"/>
          <w:sz w:val="24"/>
          <w:szCs w:val="24"/>
        </w:rPr>
        <w:t>p</w:t>
      </w:r>
      <w:r>
        <w:rPr>
          <w:rFonts w:ascii="Times New Roman" w:hAnsi="Times New Roman" w:cs="Times New Roman"/>
          <w:sz w:val="24"/>
          <w:szCs w:val="24"/>
          <w:lang w:val="ru-RU"/>
        </w:rPr>
        <w:t xml:space="preserve">&gt;0,001 </w:t>
      </w:r>
    </w:p>
    <w:p w14:paraId="2F964934">
      <w:pPr>
        <w:spacing w:line="360" w:lineRule="auto"/>
        <w:ind w:firstLine="709"/>
        <w:jc w:val="both"/>
        <w:rPr>
          <w:rFonts w:ascii="Times New Roman" w:hAnsi="Times New Roman" w:cs="Times New Roman"/>
          <w:sz w:val="28"/>
          <w:szCs w:val="28"/>
          <w:lang w:val="uk-UA"/>
        </w:rPr>
      </w:pPr>
    </w:p>
    <w:p w14:paraId="2A0BAEE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отриманими математико-статистичними розрахунками бачимо, що показники середнього арифметичного значення, моди та медіани практично співпадають як у контрольній групі, так і у експериментальній, що вказує на наявність нормального розподілу. </w:t>
      </w:r>
    </w:p>
    <w:p w14:paraId="340328F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Це також підтверджують показники незначного коливання ексцесу, що не перевищує 1 та практично нульове значення асиметрії. Отже, можемо констатувати, що на початку дослідження в обидвох групах спостерігається нормальний розподіл досліджуваного показника сформованості лексичного компонент мовлення. </w:t>
      </w:r>
    </w:p>
    <w:p w14:paraId="7D3F12F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Це дає нам підстави застосувати параметричний критерій Стьюдента для порівняння двох вибірок, значення якого </w:t>
      </w:r>
      <w:r>
        <w:rPr>
          <w:rFonts w:ascii="Times New Roman" w:hAnsi="Times New Roman" w:cs="Times New Roman"/>
          <w:sz w:val="28"/>
          <w:szCs w:val="28"/>
        </w:rPr>
        <w:t>t</w:t>
      </w:r>
      <w:r>
        <w:rPr>
          <w:rFonts w:ascii="Times New Roman" w:hAnsi="Times New Roman" w:cs="Times New Roman"/>
          <w:sz w:val="28"/>
          <w:szCs w:val="28"/>
          <w:lang w:val="ru-RU"/>
        </w:rPr>
        <w:t xml:space="preserve">=0,71 </w:t>
      </w:r>
      <w:r>
        <w:rPr>
          <w:rFonts w:ascii="Times New Roman" w:hAnsi="Times New Roman" w:cs="Times New Roman"/>
          <w:sz w:val="28"/>
          <w:szCs w:val="28"/>
          <w:lang w:val="uk-UA"/>
        </w:rPr>
        <w:t>отримано на рівні недостовірності відмінностей р&lt;0,05. Висновок з цього слідує наступний: досліджувані вибірки рівнозначні між собою.</w:t>
      </w:r>
    </w:p>
    <w:p w14:paraId="6A2FD6D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 цьому слід звернути увагу на достатньо великі показники варіювання результатів як в контрольній, так і в експериментальній групі, про що свідчать статистичні показники розсіювання результатів по вибірці, а саме стандартне відхилення, дисперсія та коефіцієнт варіації. Це вказує на неоднорідність досліджуваних та потребує у подальшому врахувати їх індивідуальні особливості мовленнєвих порушень.</w:t>
      </w:r>
    </w:p>
    <w:p w14:paraId="76BAA2B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Перевіряли лексичний компонент мовлення дітей із загальним недорозвитком мовлення за допомогою методики діагностики від І. Брушневської. Ця методика включала визначення наявності в словниковому запасі слів, які позначають предмети, дії предметів і діяльність людей, а також ознаки предметів, узагальнюючі слова, синоніми, антоніми та пароніми. Далі розглянемо особливості розвитку різних аспектів мовленнєвого запасу.</w:t>
      </w:r>
    </w:p>
    <w:p w14:paraId="09EC1CF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 кількості іменників, дієслів та прикметників, які ми виявили за допомогою виконання завдань «Склади букет», «Хто що робить» та «Знайди іграшки» показав наступні результати:</w:t>
      </w:r>
    </w:p>
    <w:p w14:paraId="029D2C0E">
      <w:pPr>
        <w:pStyle w:val="14"/>
        <w:numPr>
          <w:ilvl w:val="1"/>
          <w:numId w:val="4"/>
        </w:numPr>
        <w:spacing w:line="360" w:lineRule="auto"/>
        <w:ind w:left="1134" w:hanging="709"/>
        <w:jc w:val="both"/>
        <w:rPr>
          <w:rFonts w:ascii="Times New Roman" w:hAnsi="Times New Roman" w:cs="Times New Roman"/>
          <w:sz w:val="28"/>
          <w:szCs w:val="28"/>
          <w:lang w:val="uk-UA"/>
        </w:rPr>
      </w:pPr>
      <w:r>
        <w:rPr>
          <w:rFonts w:ascii="Times New Roman" w:hAnsi="Times New Roman" w:cs="Times New Roman"/>
          <w:sz w:val="28"/>
          <w:szCs w:val="28"/>
          <w:lang w:val="uk-UA"/>
        </w:rPr>
        <w:t>Серед 6 дітей експериментальної групи слова-назви предметів були представлені на середньому рівні, тоді як у 4 дітей експериментальної і контрольної групи вони були представлені на низькому рівні.</w:t>
      </w:r>
    </w:p>
    <w:p w14:paraId="5B56C61F">
      <w:pPr>
        <w:pStyle w:val="14"/>
        <w:numPr>
          <w:ilvl w:val="1"/>
          <w:numId w:val="4"/>
        </w:numPr>
        <w:spacing w:line="360" w:lineRule="auto"/>
        <w:ind w:left="1134" w:hanging="709"/>
        <w:jc w:val="both"/>
        <w:rPr>
          <w:rFonts w:ascii="Times New Roman" w:hAnsi="Times New Roman" w:cs="Times New Roman"/>
          <w:sz w:val="28"/>
          <w:szCs w:val="28"/>
          <w:lang w:val="uk-UA"/>
        </w:rPr>
      </w:pPr>
      <w:r>
        <w:rPr>
          <w:rFonts w:ascii="Times New Roman" w:hAnsi="Times New Roman" w:cs="Times New Roman"/>
          <w:sz w:val="28"/>
          <w:szCs w:val="28"/>
          <w:lang w:val="uk-UA"/>
        </w:rPr>
        <w:t>Слова, які характеризують дії об'єктів та активності людей, виявили середній рівень у чотирьох дітей та низький рівень у шести дітей експериментальної групи. У контрольній групі шість дітей показали середній рівень, а чотири - достатній.</w:t>
      </w:r>
    </w:p>
    <w:p w14:paraId="49EA1309">
      <w:pPr>
        <w:pStyle w:val="14"/>
        <w:numPr>
          <w:ilvl w:val="1"/>
          <w:numId w:val="4"/>
        </w:numPr>
        <w:spacing w:line="360" w:lineRule="auto"/>
        <w:ind w:left="1134" w:hanging="709"/>
        <w:jc w:val="both"/>
        <w:rPr>
          <w:rFonts w:ascii="Times New Roman" w:hAnsi="Times New Roman" w:cs="Times New Roman"/>
          <w:sz w:val="28"/>
          <w:szCs w:val="28"/>
          <w:lang w:val="uk-UA"/>
        </w:rPr>
      </w:pPr>
      <w:r>
        <w:rPr>
          <w:rFonts w:ascii="Times New Roman" w:hAnsi="Times New Roman" w:cs="Times New Roman"/>
          <w:sz w:val="28"/>
          <w:szCs w:val="28"/>
          <w:lang w:val="uk-UA"/>
        </w:rPr>
        <w:t>Слова, що позначають ознаки предметів, були на середньому рівні у 4 досліджуваних експериментальної групи та 6 досліджуваних контрольної групи,  а на низькому рівні – у 6 дітей експериментальної групи та  4 осіб контрольної групи.</w:t>
      </w:r>
    </w:p>
    <w:p w14:paraId="2FC0603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Достатній рівень розвитку лексичного компонента не був зафіксований ані в експериментальній групі, ані в контрольній групі.</w:t>
      </w:r>
    </w:p>
    <w:p w14:paraId="0A890CA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Отримані дані свідчать, що у досліджуваних як кількісні, так і якісні показники активного словникового запасу не відповідають віковим нормам. Хоча вони не мають значних проблем у визначенні предметів, дій і ознак, з якими часто стикаються, їх словниковий запас є обмеженим і стереотипним. Це пов’язано з недостатністю досвіду, особливо у використанні предикативних слів. Характерною рисою більшості таких дітей є незнання правильних назв, що веде до неточного вживання слів і їх заміни за семантичними ознаками. </w:t>
      </w:r>
    </w:p>
    <w:p w14:paraId="2F36E4B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Спостерігалися випадки заміни видових понять родовими і навпаки, наприклад, «іглашка» замість «машинка», «голобчик» замість «ворона», «мука» замість «комар». При описі дій тварин відзначено неточності, зумовлені труднощами у виокремленні диференційних ознак значення слів, наприклад, «іде» вживається замість «підходить», «обходить», «переходить», «відходить»; «літає» замість «відлітає», «прилітає», «кружляє». </w:t>
      </w:r>
    </w:p>
    <w:p w14:paraId="3AB76CB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часто сприймають навколишній світ через чуттєві асоціації, що призводить до використання синтагматичних асоціацій, наприклад, «мукає» замість поняття «корова», «різати» замість слова «ножик», «сміятися» може замінити поняття «радість». Це вказує на недостатній рівень сформованості семантичних полів у дітей дошкільного віку з мовленнєвими труднощами.</w:t>
      </w:r>
    </w:p>
    <w:p w14:paraId="595782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Результати експериментального дослідження вказують на низький рівень словникового запасу у дітей з порушеннями мовлення, а також проблеми з використанням слів різних частин мови у мовленні. Діти спостерігали проблеми з актуалізацією словникового запасу, тенденцію використовувати сталі лексичні форми та недостатні розуміння семантичних полів. </w:t>
      </w:r>
    </w:p>
    <w:p w14:paraId="0D571DC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 використання узагальнюючих слів підтвердив значні труднощі у цій групі дітей. Лише двоє учасників з кожної групи досягли середнього рівня виконання завдань, в той час як у восьми дітей було зафіксовано низький рівень.</w:t>
      </w:r>
    </w:p>
    <w:p w14:paraId="0F483E7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Засвоєння абстрактного значення слів та їх понятійної співвіднесеності у дітей цієї вікової групи ще не є достатньо розвиненим. Виявлено, що діти іноді розуміють сутність загальних слів, таких як узагальнення того, що вони бачать, вони виділяють загальні та ключові особливості об’єктів, хоча самі ці слова не є частиною їх активного словникового запасу. Неадекватна розвиненість зв'язків між словами виявляється у труднощах дітей з вибором слів для розширення семантичного ланцюга. </w:t>
      </w:r>
    </w:p>
    <w:p w14:paraId="10461A4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Неточності у відповідях свідчать про недостатнє розуміння досліджуваними значення запропонованих для них термінів та понять.</w:t>
      </w:r>
    </w:p>
    <w:p w14:paraId="010C893F">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аналізу лексико-семантичних явищ дітям було пропоновано шукати інші слова з таким самим значенням та слова з протилежним значенням під час обговорення. Результати показали, що ці завдання виявилися складними для всіх досліджуваних дітей. Тільки 2 досліджуваних експериментальної групи  і 4 осіб з контрольної групи змогли підібрати синоніми за допомогою дорослого, і при цьому проявили середній рівень мовлення. У 8 дітей експериментальної групи та 6 дітей контрольної групи завдання були виконані на низькому рівні, при цьому діти мали труднощі навіть за наявності значної допомоги.</w:t>
      </w:r>
    </w:p>
    <w:p w14:paraId="21E4C2C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стикалися із значними проблемами при підборі синонімів, часто використовували метод додавання частки не- для створення синонімів, наприклад, «сумний» натомість говорили «невеселий». Було зафіксовано випадки, коли діти з мовленнєвими труднощами не могли підібрати жодного синоніма, навіть при значній підтримці педагога, такій як додаткові запитання, підказки з вимовляння першого звука та мімічні сигнали.</w:t>
      </w:r>
    </w:p>
    <w:p w14:paraId="05C02B8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 підборі антонімів до запропонованих слів результати були наступними: 4 досліджуваних експериментальної групи і 6 досліджуваних контрольної групи продемонстрували середній рівень виконання, тоді як 6 дітей експериментальної групи і 4 дітей контрольної групи досягли низького рівня.</w:t>
      </w:r>
    </w:p>
    <w:p w14:paraId="11D048A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Етап якісного аналізу отриманих нами результатів дослідження виявив такі особливості виконання завдання:</w:t>
      </w:r>
    </w:p>
    <w:p w14:paraId="31329210">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діти часто використовували вихідні слова з додаванням заперечної частки не- замість нових слів;</w:t>
      </w:r>
    </w:p>
    <w:p w14:paraId="13C5D7DE">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підбір синонімів викликав труднощі;</w:t>
      </w:r>
    </w:p>
    <w:p w14:paraId="369D4312">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спостерігалися смислові заміни через недостатню диференціацію ситуативного контексту;</w:t>
      </w:r>
    </w:p>
    <w:p w14:paraId="27AAB856">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не змогли підібрати антоніми до всіх слів, навіть за допомогою дорослого. Це стосувалося зокрема слів, що позначають якості. Ми вважаємо, що неадекватне використання антонімів пояснюється недостатнім розумінням парадигматичних пар, де основною складовою є заперечення; </w:t>
      </w:r>
    </w:p>
    <w:p w14:paraId="7BEA5FD3">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дітям обох груп було важко правильно назвати малюнки, використовуючи слова-пароніми. Неточності у вимові слів були зумовлені несформованістю вимови звуків і відсутністю знання назв предметів, а також недосконалістю диференціації у їхньому називанні;</w:t>
      </w:r>
    </w:p>
    <w:p w14:paraId="74457642">
      <w:pPr>
        <w:pStyle w:val="14"/>
        <w:numPr>
          <w:ilvl w:val="1"/>
          <w:numId w:val="5"/>
        </w:numPr>
        <w:spacing w:line="360" w:lineRule="auto"/>
        <w:ind w:left="1276" w:hanging="567"/>
        <w:jc w:val="both"/>
        <w:rPr>
          <w:rFonts w:ascii="Times New Roman" w:hAnsi="Times New Roman" w:cs="Times New Roman"/>
          <w:sz w:val="28"/>
          <w:szCs w:val="28"/>
          <w:lang w:val="uk-UA"/>
        </w:rPr>
      </w:pPr>
      <w:r>
        <w:rPr>
          <w:rFonts w:ascii="Times New Roman" w:hAnsi="Times New Roman" w:cs="Times New Roman"/>
          <w:sz w:val="28"/>
          <w:szCs w:val="28"/>
          <w:lang w:val="uk-UA"/>
        </w:rPr>
        <w:t>діти виконували завдання невпевнено та повільно, потребуючи підбадьорювання від дорослого. Вони довго обдумували відповіді, але все ж припускалися помилок.</w:t>
      </w:r>
    </w:p>
    <w:p w14:paraId="49DF409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Отримані результати виявили суттєві проблеми у використанні слів для вираження лексико-семантичних явищ у мовленні. Словниковий запас дітей із мовленнєвими труднощами характеризується недостатньою кількістю узагальнюючих слів, рідкісним використанням антонімів, а синоніми та омоніми майже не зустрічаються. </w:t>
      </w:r>
    </w:p>
    <w:p w14:paraId="7E8213B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Результати дослідження показують, що досліджувані дошкільнята не володіють достатньо розгорнутим розумінням значень багатьох багатозначних слів. Їх словниковий запас обмежений термінами, пов’язаними з обмеженим життєвим досвідом, і вони мають труднощі у розумінні багатозначних слів. </w:t>
      </w:r>
    </w:p>
    <w:p w14:paraId="58418077">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Особливі труднощі виникли при оцінці розуміння багатозначності слів і їх точності у лексичних сполученнях. Для діагностики використовували мовленнєвий і демонстраційний матеріал, який допомагав перевірити, як діти сприймають основне значення слів та їх нюанси в контексті. Завданням було підібрати кілька картинок, що ілюструють зазначене слово. Найбільше правильних відповідей було зафіксовано у сполуках, що були зрозумілі дітям і з якими вони мали практичний досвід. Відповіді дітей часто супроводжувалися відповідними рухами, які підтверджували правильність їхніх виборів перед вихователем чи логопедом.</w:t>
      </w:r>
    </w:p>
    <w:p w14:paraId="32691FA0">
      <w:pPr>
        <w:spacing w:line="360" w:lineRule="auto"/>
        <w:ind w:firstLine="709"/>
        <w:jc w:val="both"/>
        <w:rPr>
          <w:rFonts w:ascii="Times New Roman" w:hAnsi="Times New Roman" w:cs="Times New Roman"/>
          <w:b/>
          <w:bCs/>
          <w:sz w:val="28"/>
          <w:szCs w:val="28"/>
          <w:lang w:val="uk-UA"/>
        </w:rPr>
      </w:pPr>
    </w:p>
    <w:p w14:paraId="78160445">
      <w:pPr>
        <w:spacing w:line="36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Висновки до другого розділу</w:t>
      </w:r>
    </w:p>
    <w:p w14:paraId="72A8C3C2">
      <w:pPr>
        <w:spacing w:line="360" w:lineRule="auto"/>
        <w:ind w:firstLine="709"/>
        <w:jc w:val="both"/>
        <w:rPr>
          <w:rFonts w:ascii="Times New Roman" w:hAnsi="Times New Roman" w:cs="Times New Roman"/>
          <w:bCs/>
          <w:sz w:val="28"/>
          <w:szCs w:val="28"/>
          <w:lang w:val="uk-UA"/>
        </w:rPr>
      </w:pPr>
    </w:p>
    <w:p w14:paraId="2D121048">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Для дослідження розвитку лексичного компонента мовлення досліджуваних з мовленнєвими труднощами було проведено констатувальний  експеримент, який складався з трьох етапів: підготовчого, основного експерименту та етапу обробки і аналізу результатів. </w:t>
      </w:r>
    </w:p>
    <w:p w14:paraId="4D232AE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На основі аналізу науково-методичної літератури ми визначили такі критерії: сформованість різних рівнів лексичних узагальнень; оволодіння похідними значеннями слова; прогнозування на лексичному рівні; семантичний контроль. Вибірка досліджуваних представлена 20 дітьми віком 5-6 років. У досліджуваних визначено загальний недорозвиток мовлення з медичною класифікацією F80 – розлади мовленнєвого розвитку.</w:t>
      </w:r>
    </w:p>
    <w:p w14:paraId="0AE089BF">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Для оцінки стану сформованості лексичного компонента мовлення у дітей дошкільного віку із мовленнєвими труднощами під час констатувального експерименту ми використали такі методики: завдання для випробувань дітей віком 5-6 років та методики оцінки рівня розвитку мовлення у дошкільників за авторством Ю. В. Рібцун, а також методику діагностики мовленнєвого розвитку, детально описану у дисертаційному дослідженні І. М. Брушневської.</w:t>
      </w:r>
    </w:p>
    <w:p w14:paraId="57ED2E38">
      <w:pPr>
        <w:spacing w:line="360" w:lineRule="auto"/>
        <w:ind w:firstLine="709"/>
        <w:jc w:val="both"/>
        <w:rPr>
          <w:rFonts w:ascii="Times New Roman" w:hAnsi="Times New Roman" w:cs="Times New Roman"/>
          <w:sz w:val="28"/>
          <w:szCs w:val="28"/>
          <w:lang w:val="uk-UA"/>
        </w:rPr>
      </w:pPr>
      <w:r>
        <w:rPr>
          <w:rFonts w:ascii="Times New Roman" w:hAnsi="Times New Roman" w:cs="Times New Roman"/>
          <w:bCs/>
          <w:sz w:val="28"/>
          <w:szCs w:val="28"/>
          <w:lang w:val="uk-UA"/>
        </w:rPr>
        <w:t xml:space="preserve">Оцінка лексичної компетентності полягала у вивченні рівня лексичних узагальнень, розуміння значення слів та вміння їх використовувати. Оцінювання виконання завдань здійснювалося за трьома рівнями: високий, середній і низький, в залежності від правильності та самостійності. Отримані результати вказують на те, що більшість досліджуваних як контрольної так і експериментальної груп мають знижений рівень сформованості </w:t>
      </w:r>
      <w:r>
        <w:rPr>
          <w:rFonts w:ascii="Times New Roman" w:hAnsi="Times New Roman" w:cs="Times New Roman"/>
          <w:sz w:val="28"/>
          <w:szCs w:val="28"/>
          <w:lang w:val="uk-UA"/>
        </w:rPr>
        <w:t>мовленнєвої компетентності та характеризуються відчутною відсталістю лексики. Середній рівень сформованості лексичного компонента мовлення проявився за всіма досліджуваними критеріями та проявився у недостатній розвиненості лексичного компонента мовлення. Високий рівень сформованості лексичного компонента мовлення не було виявлено практично за жодним із досліджуваних критеріїв.</w:t>
      </w:r>
    </w:p>
    <w:p w14:paraId="14A43F8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Порівняльний аналіз досліджуваних контрольної та експериментальної груп за критерієм Стьюдента вказує на їх однорідність на етапі констатувального експерименту, що дає підстави для проведення подальших досліджень.</w:t>
      </w:r>
    </w:p>
    <w:p w14:paraId="28BE9428">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Якісний аналіз результатів дослідження розвитку лексичного компонента мовлення у дітей дошкільного віку з мовленнєвими труднощами показав, що у більшості дітей спостерігається виразний недорозвиток цього компонента. </w:t>
      </w:r>
      <w:r>
        <w:rPr>
          <w:rFonts w:ascii="Times New Roman" w:hAnsi="Times New Roman" w:cs="Times New Roman"/>
          <w:sz w:val="28"/>
          <w:szCs w:val="28"/>
          <w:lang w:val="uk-UA"/>
        </w:rPr>
        <w:t>Отримані дані свідчать, що у досліджуваних як кількісні, так і якісні показники активного словникового запасу не відповідають віковим нормам</w:t>
      </w:r>
      <w:r>
        <w:rPr>
          <w:rFonts w:ascii="Times New Roman" w:hAnsi="Times New Roman" w:cs="Times New Roman"/>
          <w:bCs/>
          <w:sz w:val="28"/>
          <w:szCs w:val="28"/>
          <w:lang w:val="uk-UA"/>
        </w:rPr>
        <w:t>. Це підкреслює необхідність створення ефективних методик для покращення лексичного компонента у дітей із порушеннями мовлення.</w:t>
      </w:r>
    </w:p>
    <w:p w14:paraId="064B3B4E">
      <w:pPr>
        <w:rPr>
          <w:rFonts w:ascii="Times New Roman" w:hAnsi="Times New Roman" w:cs="Times New Roman"/>
          <w:bCs/>
          <w:sz w:val="28"/>
          <w:szCs w:val="28"/>
          <w:lang w:val="uk-UA"/>
        </w:rPr>
      </w:pPr>
      <w:r>
        <w:rPr>
          <w:rFonts w:ascii="Times New Roman" w:hAnsi="Times New Roman" w:cs="Times New Roman"/>
          <w:bCs/>
          <w:sz w:val="28"/>
          <w:szCs w:val="28"/>
          <w:lang w:val="uk-UA"/>
        </w:rPr>
        <w:br w:type="page"/>
      </w:r>
    </w:p>
    <w:p w14:paraId="622D8CC5">
      <w:pPr>
        <w:spacing w:line="360" w:lineRule="auto"/>
        <w:jc w:val="center"/>
        <w:rPr>
          <w:rFonts w:ascii="Times New Roman" w:hAnsi="Times New Roman" w:cs="Times New Roman"/>
          <w:b/>
          <w:bCs/>
          <w:sz w:val="28"/>
          <w:szCs w:val="28"/>
          <w:lang w:val="uk-UA"/>
        </w:rPr>
      </w:pPr>
      <w:bookmarkStart w:id="3" w:name="_Hlk177559872"/>
      <w:r>
        <w:rPr>
          <w:rFonts w:ascii="Times New Roman" w:hAnsi="Times New Roman" w:cs="Times New Roman"/>
          <w:b/>
          <w:bCs/>
          <w:sz w:val="28"/>
          <w:szCs w:val="28"/>
          <w:lang w:val="uk-UA"/>
        </w:rPr>
        <w:t>РОЗДІЛ 3.</w:t>
      </w:r>
    </w:p>
    <w:p w14:paraId="418E8AB1">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ФОРМУВАННЯ ЛЕКСИЧНОГО КОМПОНЕНТА МОВЛЕННЯ </w:t>
      </w:r>
      <w:r>
        <w:rPr>
          <w:rFonts w:ascii="Times New Roman" w:hAnsi="Times New Roman" w:cs="Times New Roman"/>
          <w:b/>
          <w:bCs/>
          <w:sz w:val="28"/>
          <w:szCs w:val="28"/>
          <w:lang w:val="uk-UA"/>
        </w:rPr>
        <w:br w:type="textWrapping"/>
      </w:r>
      <w:r>
        <w:rPr>
          <w:rFonts w:ascii="Times New Roman" w:hAnsi="Times New Roman" w:cs="Times New Roman"/>
          <w:b/>
          <w:bCs/>
          <w:sz w:val="28"/>
          <w:szCs w:val="28"/>
          <w:lang w:val="uk-UA"/>
        </w:rPr>
        <w:t xml:space="preserve">У ДІТЕЙ З МОВЛЕННЄВИМИ ТРУДНОЩАМИ </w:t>
      </w:r>
      <w:r>
        <w:rPr>
          <w:rFonts w:ascii="Times New Roman" w:hAnsi="Times New Roman" w:cs="Times New Roman"/>
          <w:b/>
          <w:bCs/>
          <w:sz w:val="28"/>
          <w:szCs w:val="28"/>
          <w:lang w:val="uk-UA"/>
        </w:rPr>
        <w:br w:type="textWrapping"/>
      </w:r>
      <w:r>
        <w:rPr>
          <w:rFonts w:ascii="Times New Roman" w:hAnsi="Times New Roman" w:cs="Times New Roman"/>
          <w:b/>
          <w:bCs/>
          <w:sz w:val="28"/>
          <w:szCs w:val="28"/>
          <w:lang w:val="uk-UA"/>
        </w:rPr>
        <w:t>ЗАСОБАМИ ТЕАТРАЛІЗОВАНОЇ ДІЯЛЬНОСТІ</w:t>
      </w:r>
    </w:p>
    <w:p w14:paraId="45FF1193">
      <w:pPr>
        <w:spacing w:line="360" w:lineRule="auto"/>
        <w:ind w:firstLine="709"/>
        <w:jc w:val="both"/>
        <w:rPr>
          <w:rFonts w:ascii="Times New Roman" w:hAnsi="Times New Roman" w:cs="Times New Roman"/>
          <w:bCs/>
          <w:sz w:val="28"/>
          <w:szCs w:val="28"/>
          <w:lang w:val="uk-UA"/>
        </w:rPr>
      </w:pPr>
    </w:p>
    <w:p w14:paraId="1EEDE376">
      <w:pPr>
        <w:spacing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3.1. Методика формування лексичного компонента мовлення у дітей дошкільного віку з мовленнєвими труднощами</w:t>
      </w:r>
    </w:p>
    <w:p w14:paraId="105239C2">
      <w:pPr>
        <w:spacing w:line="360" w:lineRule="auto"/>
        <w:ind w:firstLine="709"/>
        <w:jc w:val="both"/>
        <w:rPr>
          <w:rFonts w:ascii="Times New Roman" w:hAnsi="Times New Roman" w:cs="Times New Roman"/>
          <w:sz w:val="28"/>
          <w:szCs w:val="28"/>
          <w:lang w:val="uk-UA"/>
        </w:rPr>
      </w:pPr>
    </w:p>
    <w:p w14:paraId="434220D1">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Під час проведення формувального етапу експерименту нами було запропоновано методику формування лексичного компонента мовлення у дітей з мовленнєвими труднощами засобами театралізованої діяльності. Дана методика орієнтована на дітей старшого дошкільного віку 5-6 років. </w:t>
      </w:r>
    </w:p>
    <w:p w14:paraId="34C09677">
      <w:pPr>
        <w:spacing w:line="360" w:lineRule="auto"/>
        <w:ind w:firstLine="709"/>
        <w:jc w:val="both"/>
        <w:rPr>
          <w:lang w:val="uk-UA"/>
        </w:rPr>
      </w:pPr>
      <w:r>
        <w:rPr>
          <w:rFonts w:ascii="Times New Roman" w:hAnsi="Times New Roman" w:cs="Times New Roman"/>
          <w:bCs/>
          <w:sz w:val="28"/>
          <w:szCs w:val="28"/>
          <w:lang w:val="uk-UA"/>
        </w:rPr>
        <w:t>В основу покладені наукові розробки Л. О. Калмикової із застосування засобів розвитку мовленнєвих компонентів [16]; Є. Ф. Соботович із застосування фонетико-фонематичних засобів розвитку мовлення [41]; програмно-методичний комплекс із корекційного навчання з розвитку мовлення дітей середнього дошкільного віку із ЗНМ за авторством Л. І. Трофименко [46]; програмно-методичний комплекс корекційного навчання з розвитку мовлення дітей молодшого дошкільного віку із ЗНМ за авторством Ю. В. Рібцун [38]; здобутки дисертаційних досліджень В. В. Тищенко [44] та Л. Є. Андрусишиної [1], методика збагачення словника дітей старшого дошкільного віку в театрально-ігровій діяльності за авторством Л.В. Алексєєнко-Лемовської [53; 54] та доробок інших авторів.</w:t>
      </w:r>
    </w:p>
    <w:p w14:paraId="7393C5C4">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У таблиці 3.1. представлені основні компоненти пропонованої нами методики.</w:t>
      </w:r>
    </w:p>
    <w:p w14:paraId="513EE05A">
      <w:pPr>
        <w:spacing w:line="360" w:lineRule="auto"/>
        <w:ind w:firstLine="709"/>
        <w:jc w:val="both"/>
        <w:rPr>
          <w:rFonts w:ascii="Times New Roman" w:hAnsi="Times New Roman" w:cs="Times New Roman"/>
          <w:bCs/>
          <w:sz w:val="28"/>
          <w:szCs w:val="28"/>
          <w:lang w:val="uk-UA"/>
        </w:rPr>
      </w:pPr>
    </w:p>
    <w:p w14:paraId="28D5D367">
      <w:pPr>
        <w:spacing w:line="360" w:lineRule="auto"/>
        <w:ind w:firstLine="709"/>
        <w:jc w:val="both"/>
        <w:rPr>
          <w:rFonts w:ascii="Times New Roman" w:hAnsi="Times New Roman" w:cs="Times New Roman"/>
          <w:bCs/>
          <w:sz w:val="28"/>
          <w:szCs w:val="28"/>
          <w:lang w:val="uk-UA"/>
        </w:rPr>
      </w:pPr>
    </w:p>
    <w:p w14:paraId="67CCD44F">
      <w:pPr>
        <w:spacing w:line="360" w:lineRule="auto"/>
        <w:ind w:firstLine="709"/>
        <w:jc w:val="right"/>
        <w:rPr>
          <w:rFonts w:ascii="Times New Roman" w:hAnsi="Times New Roman" w:cs="Times New Roman"/>
          <w:bCs/>
          <w:sz w:val="28"/>
          <w:szCs w:val="28"/>
          <w:lang w:val="uk-UA"/>
        </w:rPr>
      </w:pPr>
    </w:p>
    <w:p w14:paraId="2E864D47">
      <w:pPr>
        <w:spacing w:line="360" w:lineRule="auto"/>
        <w:ind w:firstLine="709"/>
        <w:jc w:val="right"/>
        <w:rPr>
          <w:rFonts w:ascii="Times New Roman" w:hAnsi="Times New Roman" w:cs="Times New Roman"/>
          <w:bCs/>
          <w:sz w:val="28"/>
          <w:szCs w:val="28"/>
          <w:lang w:val="uk-UA"/>
        </w:rPr>
      </w:pPr>
    </w:p>
    <w:p w14:paraId="7C235AE5">
      <w:pPr>
        <w:spacing w:line="360" w:lineRule="auto"/>
        <w:ind w:firstLine="709"/>
        <w:jc w:val="right"/>
        <w:rPr>
          <w:rFonts w:ascii="Times New Roman" w:hAnsi="Times New Roman" w:cs="Times New Roman"/>
          <w:bCs/>
          <w:sz w:val="28"/>
          <w:szCs w:val="28"/>
          <w:lang w:val="uk-UA"/>
        </w:rPr>
      </w:pPr>
    </w:p>
    <w:p w14:paraId="3E13D442">
      <w:pPr>
        <w:spacing w:line="360" w:lineRule="auto"/>
        <w:ind w:firstLine="709"/>
        <w:jc w:val="right"/>
        <w:rPr>
          <w:rFonts w:ascii="Times New Roman" w:hAnsi="Times New Roman" w:cs="Times New Roman"/>
          <w:bCs/>
          <w:i/>
          <w:sz w:val="28"/>
          <w:szCs w:val="28"/>
          <w:lang w:val="uk-UA"/>
        </w:rPr>
      </w:pPr>
      <w:r>
        <w:rPr>
          <w:rFonts w:ascii="Times New Roman" w:hAnsi="Times New Roman" w:cs="Times New Roman"/>
          <w:bCs/>
          <w:i/>
          <w:sz w:val="28"/>
          <w:szCs w:val="28"/>
          <w:lang w:val="uk-UA"/>
        </w:rPr>
        <w:t>Таблиця 3.1.</w:t>
      </w:r>
    </w:p>
    <w:p w14:paraId="3970DBBF">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Основні етапи та завдання методики формування лексичного компонента мовлення у дітей з мовленнєвими труднощами</w:t>
      </w:r>
    </w:p>
    <w:tbl>
      <w:tblPr>
        <w:tblStyle w:val="13"/>
        <w:tblW w:w="10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3969"/>
        <w:gridCol w:w="4961"/>
      </w:tblGrid>
      <w:tr w14:paraId="5074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Align w:val="center"/>
          </w:tcPr>
          <w:p w14:paraId="341079F6">
            <w:pPr>
              <w:jc w:val="center"/>
              <w:rPr>
                <w:rFonts w:ascii="Times New Roman" w:hAnsi="Times New Roman" w:cs="Times New Roman"/>
                <w:b/>
                <w:sz w:val="24"/>
                <w:szCs w:val="24"/>
                <w:lang w:val="uk-UA"/>
              </w:rPr>
            </w:pPr>
            <w:r>
              <w:rPr>
                <w:rFonts w:ascii="Times New Roman" w:hAnsi="Times New Roman" w:cs="Times New Roman"/>
                <w:b/>
                <w:sz w:val="24"/>
                <w:szCs w:val="24"/>
                <w:lang w:val="uk-UA"/>
              </w:rPr>
              <w:t>№ етапу</w:t>
            </w:r>
          </w:p>
        </w:tc>
        <w:tc>
          <w:tcPr>
            <w:tcW w:w="3969" w:type="dxa"/>
            <w:vAlign w:val="center"/>
          </w:tcPr>
          <w:p w14:paraId="3B94705C">
            <w:pPr>
              <w:jc w:val="center"/>
              <w:rPr>
                <w:rFonts w:ascii="Times New Roman" w:hAnsi="Times New Roman" w:cs="Times New Roman"/>
                <w:b/>
                <w:sz w:val="24"/>
                <w:szCs w:val="24"/>
                <w:lang w:val="uk-UA"/>
              </w:rPr>
            </w:pPr>
            <w:r>
              <w:rPr>
                <w:rFonts w:ascii="Times New Roman" w:hAnsi="Times New Roman" w:cs="Times New Roman"/>
                <w:b/>
                <w:sz w:val="24"/>
                <w:szCs w:val="24"/>
                <w:lang w:val="uk-UA"/>
              </w:rPr>
              <w:t>Назва етапу та тематика занять</w:t>
            </w:r>
          </w:p>
        </w:tc>
        <w:tc>
          <w:tcPr>
            <w:tcW w:w="4961" w:type="dxa"/>
            <w:vAlign w:val="center"/>
          </w:tcPr>
          <w:p w14:paraId="4D900322">
            <w:pPr>
              <w:jc w:val="center"/>
              <w:rPr>
                <w:rFonts w:ascii="Times New Roman" w:hAnsi="Times New Roman" w:cs="Times New Roman"/>
                <w:b/>
                <w:sz w:val="24"/>
                <w:szCs w:val="24"/>
                <w:lang w:val="uk-UA"/>
              </w:rPr>
            </w:pPr>
            <w:r>
              <w:rPr>
                <w:rFonts w:ascii="Times New Roman" w:hAnsi="Times New Roman" w:cs="Times New Roman"/>
                <w:b/>
                <w:sz w:val="24"/>
                <w:szCs w:val="24"/>
                <w:lang w:val="uk-UA"/>
              </w:rPr>
              <w:t>Характеристика завдань</w:t>
            </w:r>
          </w:p>
        </w:tc>
      </w:tr>
      <w:tr w14:paraId="4E315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Align w:val="center"/>
          </w:tcPr>
          <w:p w14:paraId="0D48C8AF">
            <w:pPr>
              <w:rPr>
                <w:rFonts w:ascii="Times New Roman" w:hAnsi="Times New Roman" w:cs="Times New Roman"/>
                <w:bCs/>
                <w:sz w:val="24"/>
                <w:szCs w:val="24"/>
                <w:lang w:val="uk-UA"/>
              </w:rPr>
            </w:pPr>
            <w:r>
              <w:rPr>
                <w:rFonts w:ascii="Times New Roman" w:hAnsi="Times New Roman" w:cs="Times New Roman"/>
                <w:bCs/>
                <w:sz w:val="24"/>
                <w:szCs w:val="24"/>
                <w:lang w:val="uk-UA"/>
              </w:rPr>
              <w:t>І етап</w:t>
            </w:r>
          </w:p>
        </w:tc>
        <w:tc>
          <w:tcPr>
            <w:tcW w:w="3969" w:type="dxa"/>
            <w:vAlign w:val="center"/>
          </w:tcPr>
          <w:p w14:paraId="39B93D5B">
            <w:pPr>
              <w:rPr>
                <w:rFonts w:ascii="Times New Roman" w:hAnsi="Times New Roman" w:cs="Times New Roman"/>
                <w:bCs/>
                <w:i/>
                <w:sz w:val="24"/>
                <w:szCs w:val="24"/>
                <w:lang w:val="uk-UA"/>
              </w:rPr>
            </w:pPr>
            <w:r>
              <w:rPr>
                <w:rFonts w:ascii="Times New Roman" w:hAnsi="Times New Roman" w:cs="Times New Roman"/>
                <w:bCs/>
                <w:i/>
                <w:sz w:val="24"/>
                <w:szCs w:val="24"/>
                <w:lang w:val="uk-UA"/>
              </w:rPr>
              <w:t xml:space="preserve">Вхідний: </w:t>
            </w:r>
          </w:p>
          <w:p w14:paraId="1E19A14D">
            <w:pPr>
              <w:rPr>
                <w:rFonts w:ascii="Times New Roman" w:hAnsi="Times New Roman" w:cs="Times New Roman"/>
                <w:bCs/>
                <w:sz w:val="24"/>
                <w:szCs w:val="24"/>
                <w:lang w:val="uk-UA"/>
              </w:rPr>
            </w:pPr>
            <w:r>
              <w:rPr>
                <w:rFonts w:ascii="Times New Roman" w:hAnsi="Times New Roman" w:cs="Times New Roman"/>
                <w:bCs/>
                <w:sz w:val="24"/>
                <w:szCs w:val="24"/>
                <w:lang w:val="uk-UA"/>
              </w:rPr>
              <w:t>Знайомство з театром</w:t>
            </w:r>
          </w:p>
          <w:p w14:paraId="7AA73B35">
            <w:pPr>
              <w:rPr>
                <w:rFonts w:ascii="Times New Roman" w:hAnsi="Times New Roman" w:cs="Times New Roman"/>
                <w:bCs/>
                <w:sz w:val="24"/>
                <w:szCs w:val="24"/>
                <w:lang w:val="uk-UA"/>
              </w:rPr>
            </w:pPr>
            <w:r>
              <w:rPr>
                <w:rFonts w:ascii="Times New Roman" w:hAnsi="Times New Roman" w:cs="Times New Roman"/>
                <w:bCs/>
                <w:sz w:val="24"/>
                <w:szCs w:val="24"/>
                <w:lang w:val="uk-UA"/>
              </w:rPr>
              <w:t>Ігри – імітації «Придумай назву»</w:t>
            </w:r>
          </w:p>
          <w:p w14:paraId="401D5741">
            <w:pPr>
              <w:rPr>
                <w:rFonts w:ascii="Times New Roman" w:hAnsi="Times New Roman" w:cs="Times New Roman"/>
                <w:bCs/>
                <w:sz w:val="24"/>
                <w:szCs w:val="24"/>
                <w:lang w:val="uk-UA"/>
              </w:rPr>
            </w:pPr>
            <w:r>
              <w:rPr>
                <w:rFonts w:ascii="Times New Roman" w:hAnsi="Times New Roman" w:cs="Times New Roman"/>
                <w:bCs/>
                <w:sz w:val="24"/>
                <w:szCs w:val="24"/>
                <w:lang w:val="uk-UA"/>
              </w:rPr>
              <w:t>Ігри – імпровізації «Веселий дощик»</w:t>
            </w:r>
          </w:p>
          <w:p w14:paraId="312954DC">
            <w:pPr>
              <w:rPr>
                <w:rFonts w:ascii="Times New Roman" w:hAnsi="Times New Roman" w:cs="Times New Roman"/>
                <w:bCs/>
                <w:sz w:val="24"/>
                <w:szCs w:val="24"/>
                <w:lang w:val="uk-UA"/>
              </w:rPr>
            </w:pPr>
            <w:r>
              <w:rPr>
                <w:rFonts w:ascii="Times New Roman" w:hAnsi="Times New Roman" w:cs="Times New Roman"/>
                <w:bCs/>
                <w:sz w:val="24"/>
                <w:szCs w:val="24"/>
                <w:lang w:val="uk-UA"/>
              </w:rPr>
              <w:t>Ігри за сценарієм «Хмарка йшла на іменини» Г. Чубай</w:t>
            </w:r>
          </w:p>
          <w:p w14:paraId="7550DDB1">
            <w:pPr>
              <w:rPr>
                <w:rFonts w:ascii="Times New Roman" w:hAnsi="Times New Roman" w:cs="Times New Roman"/>
                <w:bCs/>
                <w:sz w:val="24"/>
                <w:szCs w:val="24"/>
                <w:lang w:val="uk-UA"/>
              </w:rPr>
            </w:pPr>
            <w:r>
              <w:rPr>
                <w:rFonts w:ascii="Times New Roman" w:hAnsi="Times New Roman" w:cs="Times New Roman"/>
                <w:bCs/>
                <w:sz w:val="24"/>
                <w:szCs w:val="24"/>
                <w:lang w:val="uk-UA"/>
              </w:rPr>
              <w:t>Ігри та мовленнєві вправи «Склади історію для картинок»</w:t>
            </w:r>
          </w:p>
          <w:p w14:paraId="15D4AB07">
            <w:pPr>
              <w:rPr>
                <w:rFonts w:ascii="Times New Roman" w:hAnsi="Times New Roman" w:cs="Times New Roman"/>
                <w:bCs/>
                <w:sz w:val="24"/>
                <w:szCs w:val="24"/>
                <w:lang w:val="uk-UA"/>
              </w:rPr>
            </w:pPr>
            <w:r>
              <w:rPr>
                <w:rFonts w:ascii="Times New Roman" w:hAnsi="Times New Roman" w:cs="Times New Roman"/>
                <w:bCs/>
                <w:sz w:val="24"/>
                <w:szCs w:val="24"/>
                <w:lang w:val="uk-UA"/>
              </w:rPr>
              <w:t>Ігри за мотивами українських народних казок «Рукавичка» та «Котигорошок»</w:t>
            </w:r>
          </w:p>
          <w:p w14:paraId="13313AA1">
            <w:pPr>
              <w:rPr>
                <w:rFonts w:ascii="Times New Roman" w:hAnsi="Times New Roman" w:cs="Times New Roman"/>
                <w:bCs/>
                <w:sz w:val="24"/>
                <w:szCs w:val="24"/>
                <w:lang w:val="uk-UA"/>
              </w:rPr>
            </w:pPr>
            <w:r>
              <w:rPr>
                <w:rFonts w:ascii="Times New Roman" w:hAnsi="Times New Roman" w:cs="Times New Roman"/>
                <w:bCs/>
                <w:sz w:val="24"/>
                <w:szCs w:val="24"/>
                <w:lang w:val="uk-UA"/>
              </w:rPr>
              <w:t>Театралізовані сценки на тему українських народних обрядів «Коляда на Різдво»</w:t>
            </w:r>
          </w:p>
        </w:tc>
        <w:tc>
          <w:tcPr>
            <w:tcW w:w="4961" w:type="dxa"/>
            <w:vAlign w:val="center"/>
          </w:tcPr>
          <w:p w14:paraId="42F1A123">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Формування у дітей уявлення про театр як вид мистецтва. </w:t>
            </w:r>
          </w:p>
          <w:p w14:paraId="737D5915">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Досягнення гармонії між рухами, ритмом тексту й музики, а також збагачення словникового запасу. </w:t>
            </w:r>
          </w:p>
          <w:p w14:paraId="6DC28DFA">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Розширення і активізація словникового запасу, розвиток фразового мовлення. Удосконалення навичок використання слів з протилежним значенням. </w:t>
            </w:r>
          </w:p>
          <w:p w14:paraId="6F5F43A1">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Знайомство з театральною термінологією. </w:t>
            </w:r>
          </w:p>
          <w:p w14:paraId="7CEBE514">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Розширення словникового запасу українською лексикою на основі українських народних казок. </w:t>
            </w:r>
          </w:p>
          <w:p w14:paraId="40D0CB43">
            <w:pPr>
              <w:rPr>
                <w:rFonts w:ascii="Times New Roman" w:hAnsi="Times New Roman" w:cs="Times New Roman"/>
                <w:bCs/>
                <w:sz w:val="24"/>
                <w:szCs w:val="24"/>
                <w:lang w:val="uk-UA"/>
              </w:rPr>
            </w:pPr>
            <w:r>
              <w:rPr>
                <w:rFonts w:ascii="Times New Roman" w:hAnsi="Times New Roman" w:cs="Times New Roman"/>
                <w:bCs/>
                <w:sz w:val="24"/>
                <w:szCs w:val="24"/>
                <w:lang w:val="uk-UA"/>
              </w:rPr>
              <w:t>Уточнення сутності понять.</w:t>
            </w:r>
          </w:p>
        </w:tc>
      </w:tr>
      <w:tr w14:paraId="7F53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Align w:val="center"/>
          </w:tcPr>
          <w:p w14:paraId="69074009">
            <w:pPr>
              <w:rPr>
                <w:rFonts w:ascii="Times New Roman" w:hAnsi="Times New Roman" w:cs="Times New Roman"/>
                <w:bCs/>
                <w:sz w:val="24"/>
                <w:szCs w:val="24"/>
                <w:lang w:val="uk-UA"/>
              </w:rPr>
            </w:pPr>
            <w:r>
              <w:rPr>
                <w:rFonts w:ascii="Times New Roman" w:hAnsi="Times New Roman" w:cs="Times New Roman"/>
                <w:bCs/>
                <w:sz w:val="24"/>
                <w:szCs w:val="24"/>
                <w:lang w:val="uk-UA"/>
              </w:rPr>
              <w:t>ІІ етап</w:t>
            </w:r>
          </w:p>
        </w:tc>
        <w:tc>
          <w:tcPr>
            <w:tcW w:w="3969" w:type="dxa"/>
            <w:vAlign w:val="center"/>
          </w:tcPr>
          <w:p w14:paraId="758BE62B">
            <w:pPr>
              <w:rPr>
                <w:rFonts w:ascii="Times New Roman" w:hAnsi="Times New Roman" w:cs="Times New Roman"/>
                <w:bCs/>
                <w:i/>
                <w:sz w:val="24"/>
                <w:szCs w:val="24"/>
                <w:lang w:val="uk-UA"/>
              </w:rPr>
            </w:pPr>
            <w:r>
              <w:rPr>
                <w:rFonts w:ascii="Times New Roman" w:hAnsi="Times New Roman" w:cs="Times New Roman"/>
                <w:bCs/>
                <w:i/>
                <w:sz w:val="24"/>
                <w:szCs w:val="24"/>
                <w:lang w:val="uk-UA"/>
              </w:rPr>
              <w:t>Формувальний:</w:t>
            </w:r>
          </w:p>
          <w:p w14:paraId="5220CA91">
            <w:pPr>
              <w:rPr>
                <w:rFonts w:ascii="Times New Roman" w:hAnsi="Times New Roman" w:cs="Times New Roman"/>
                <w:bCs/>
                <w:sz w:val="24"/>
                <w:szCs w:val="24"/>
                <w:lang w:val="uk-UA"/>
              </w:rPr>
            </w:pPr>
            <w:r>
              <w:rPr>
                <w:rFonts w:ascii="Times New Roman" w:hAnsi="Times New Roman" w:cs="Times New Roman"/>
                <w:bCs/>
                <w:sz w:val="24"/>
                <w:szCs w:val="24"/>
                <w:lang w:val="uk-UA"/>
              </w:rPr>
              <w:t>Режисерські ігри «Чарівний мішечок», «Вибери свою роль»</w:t>
            </w:r>
          </w:p>
          <w:p w14:paraId="3C444075">
            <w:pPr>
              <w:rPr>
                <w:rFonts w:ascii="Times New Roman" w:hAnsi="Times New Roman" w:cs="Times New Roman"/>
                <w:bCs/>
                <w:sz w:val="24"/>
                <w:szCs w:val="24"/>
                <w:lang w:val="uk-UA"/>
              </w:rPr>
            </w:pPr>
            <w:r>
              <w:rPr>
                <w:rFonts w:ascii="Times New Roman" w:hAnsi="Times New Roman" w:cs="Times New Roman"/>
                <w:bCs/>
                <w:sz w:val="24"/>
                <w:szCs w:val="24"/>
                <w:lang w:val="uk-UA"/>
              </w:rPr>
              <w:t>Самостійна театралізована діяльність</w:t>
            </w:r>
          </w:p>
          <w:p w14:paraId="540284F5">
            <w:pPr>
              <w:rPr>
                <w:rFonts w:ascii="Times New Roman" w:hAnsi="Times New Roman" w:cs="Times New Roman"/>
                <w:bCs/>
                <w:sz w:val="24"/>
                <w:szCs w:val="24"/>
                <w:lang w:val="uk-UA"/>
              </w:rPr>
            </w:pPr>
            <w:r>
              <w:rPr>
                <w:rFonts w:ascii="Times New Roman" w:hAnsi="Times New Roman" w:cs="Times New Roman"/>
                <w:bCs/>
                <w:sz w:val="24"/>
                <w:szCs w:val="24"/>
                <w:lang w:val="uk-UA"/>
              </w:rPr>
              <w:t>Вистави за художніми творами Г. Бойка «</w:t>
            </w:r>
            <w:r>
              <w:rPr>
                <w:rFonts w:ascii="Times New Roman" w:hAnsi="Times New Roman" w:cs="Times New Roman"/>
                <w:bCs/>
                <w:sz w:val="24"/>
                <w:szCs w:val="24"/>
                <w:lang w:val="ru-RU"/>
              </w:rPr>
              <w:t>Уперті козенята», «Заєць і гуси», «Здоровим будь!»</w:t>
            </w:r>
          </w:p>
          <w:p w14:paraId="2EBB5274">
            <w:pPr>
              <w:rPr>
                <w:rFonts w:ascii="Times New Roman" w:hAnsi="Times New Roman" w:cs="Times New Roman"/>
                <w:bCs/>
                <w:sz w:val="24"/>
                <w:szCs w:val="24"/>
                <w:lang w:val="uk-UA"/>
              </w:rPr>
            </w:pPr>
            <w:r>
              <w:rPr>
                <w:rFonts w:ascii="Times New Roman" w:hAnsi="Times New Roman" w:cs="Times New Roman"/>
                <w:bCs/>
                <w:sz w:val="24"/>
                <w:szCs w:val="24"/>
                <w:lang w:val="uk-UA"/>
              </w:rPr>
              <w:t>Читання казок «Фарбований лис», «ОХ»</w:t>
            </w:r>
          </w:p>
          <w:p w14:paraId="4B5B76BA">
            <w:pPr>
              <w:rPr>
                <w:rFonts w:ascii="Times New Roman" w:hAnsi="Times New Roman" w:cs="Times New Roman"/>
                <w:bCs/>
                <w:sz w:val="24"/>
                <w:szCs w:val="24"/>
                <w:lang w:val="uk-UA"/>
              </w:rPr>
            </w:pPr>
            <w:r>
              <w:rPr>
                <w:rFonts w:ascii="Times New Roman" w:hAnsi="Times New Roman" w:cs="Times New Roman"/>
                <w:bCs/>
                <w:sz w:val="24"/>
                <w:szCs w:val="24"/>
                <w:lang w:val="uk-UA"/>
              </w:rPr>
              <w:t>Мінівистави за мотивами народних казок «Коза- Дереза», «Івасик-Телесик».</w:t>
            </w:r>
          </w:p>
        </w:tc>
        <w:tc>
          <w:tcPr>
            <w:tcW w:w="4961" w:type="dxa"/>
            <w:vAlign w:val="center"/>
          </w:tcPr>
          <w:p w14:paraId="43DC6390">
            <w:pPr>
              <w:rPr>
                <w:rFonts w:ascii="Times New Roman" w:hAnsi="Times New Roman" w:cs="Times New Roman"/>
                <w:bCs/>
                <w:sz w:val="24"/>
                <w:szCs w:val="24"/>
                <w:lang w:val="uk-UA"/>
              </w:rPr>
            </w:pPr>
            <w:r>
              <w:rPr>
                <w:rFonts w:ascii="Times New Roman" w:hAnsi="Times New Roman" w:cs="Times New Roman"/>
                <w:bCs/>
                <w:sz w:val="24"/>
                <w:szCs w:val="24"/>
                <w:lang w:val="uk-UA"/>
              </w:rPr>
              <w:t>Формування лексичної структури мовлення. Розвиток зв'язного мовлення і сюжетоскладання.</w:t>
            </w:r>
          </w:p>
          <w:p w14:paraId="6AC46552">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Виховання поважного ставлення до рідної мови. </w:t>
            </w:r>
          </w:p>
          <w:p w14:paraId="3B1778AD">
            <w:pPr>
              <w:rPr>
                <w:rFonts w:ascii="Times New Roman" w:hAnsi="Times New Roman" w:cs="Times New Roman"/>
                <w:bCs/>
                <w:sz w:val="24"/>
                <w:szCs w:val="24"/>
                <w:lang w:val="uk-UA"/>
              </w:rPr>
            </w:pPr>
            <w:r>
              <w:rPr>
                <w:rFonts w:ascii="Times New Roman" w:hAnsi="Times New Roman" w:cs="Times New Roman"/>
                <w:bCs/>
                <w:sz w:val="24"/>
                <w:szCs w:val="24"/>
                <w:lang w:val="uk-UA"/>
              </w:rPr>
              <w:t>Уточнення, наповнення та закріплення словника</w:t>
            </w:r>
          </w:p>
          <w:p w14:paraId="41607376">
            <w:pPr>
              <w:rPr>
                <w:rFonts w:ascii="Times New Roman" w:hAnsi="Times New Roman" w:cs="Times New Roman"/>
                <w:bCs/>
                <w:sz w:val="24"/>
                <w:szCs w:val="24"/>
                <w:lang w:val="uk-UA"/>
              </w:rPr>
            </w:pPr>
            <w:r>
              <w:rPr>
                <w:rFonts w:ascii="Times New Roman" w:hAnsi="Times New Roman" w:cs="Times New Roman"/>
                <w:bCs/>
                <w:sz w:val="24"/>
                <w:szCs w:val="24"/>
                <w:lang w:val="uk-UA"/>
              </w:rPr>
              <w:t>Розвиток уміння розпізнавати структуру розповіді, а саме початок, середина, кінець.</w:t>
            </w:r>
          </w:p>
          <w:p w14:paraId="778A2A46">
            <w:pPr>
              <w:rPr>
                <w:rFonts w:ascii="Times New Roman" w:hAnsi="Times New Roman" w:cs="Times New Roman"/>
                <w:bCs/>
                <w:sz w:val="24"/>
                <w:szCs w:val="24"/>
                <w:lang w:val="uk-UA"/>
              </w:rPr>
            </w:pPr>
            <w:r>
              <w:rPr>
                <w:rFonts w:ascii="Times New Roman" w:hAnsi="Times New Roman" w:cs="Times New Roman"/>
                <w:bCs/>
                <w:sz w:val="24"/>
                <w:szCs w:val="24"/>
                <w:lang w:val="uk-UA"/>
              </w:rPr>
              <w:t xml:space="preserve">Активізація дієслівної лексики у конкретних контекстах. </w:t>
            </w:r>
          </w:p>
          <w:p w14:paraId="3A1984B9">
            <w:pPr>
              <w:rPr>
                <w:rFonts w:ascii="Times New Roman" w:hAnsi="Times New Roman" w:cs="Times New Roman"/>
                <w:bCs/>
                <w:sz w:val="24"/>
                <w:szCs w:val="24"/>
                <w:lang w:val="uk-UA"/>
              </w:rPr>
            </w:pPr>
            <w:r>
              <w:rPr>
                <w:rFonts w:ascii="Times New Roman" w:hAnsi="Times New Roman" w:cs="Times New Roman"/>
                <w:bCs/>
                <w:sz w:val="24"/>
                <w:szCs w:val="24"/>
                <w:lang w:val="uk-UA"/>
              </w:rPr>
              <w:t>Створення розповідей за допомогою методу моделювання казок.</w:t>
            </w:r>
          </w:p>
        </w:tc>
      </w:tr>
      <w:tr w14:paraId="43F4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Align w:val="center"/>
          </w:tcPr>
          <w:p w14:paraId="2CDD9D0A">
            <w:pPr>
              <w:rPr>
                <w:rFonts w:ascii="Times New Roman" w:hAnsi="Times New Roman" w:cs="Times New Roman"/>
                <w:bCs/>
                <w:sz w:val="24"/>
                <w:szCs w:val="24"/>
                <w:lang w:val="uk-UA"/>
              </w:rPr>
            </w:pPr>
            <w:r>
              <w:rPr>
                <w:rFonts w:ascii="Times New Roman" w:hAnsi="Times New Roman" w:cs="Times New Roman"/>
                <w:bCs/>
                <w:sz w:val="24"/>
                <w:szCs w:val="24"/>
                <w:lang w:val="uk-UA"/>
              </w:rPr>
              <w:t>ІІІ етап</w:t>
            </w:r>
          </w:p>
        </w:tc>
        <w:tc>
          <w:tcPr>
            <w:tcW w:w="3969" w:type="dxa"/>
            <w:vAlign w:val="center"/>
          </w:tcPr>
          <w:p w14:paraId="7D00BE4B">
            <w:pPr>
              <w:rPr>
                <w:rFonts w:ascii="Times New Roman" w:hAnsi="Times New Roman" w:cs="Times New Roman"/>
                <w:bCs/>
                <w:i/>
                <w:sz w:val="24"/>
                <w:szCs w:val="24"/>
                <w:lang w:val="uk-UA"/>
              </w:rPr>
            </w:pPr>
            <w:r>
              <w:rPr>
                <w:rFonts w:ascii="Times New Roman" w:hAnsi="Times New Roman" w:cs="Times New Roman"/>
                <w:bCs/>
                <w:i/>
                <w:sz w:val="24"/>
                <w:szCs w:val="24"/>
                <w:lang w:val="uk-UA"/>
              </w:rPr>
              <w:t>Закріплювальний:</w:t>
            </w:r>
          </w:p>
          <w:p w14:paraId="68A82441">
            <w:pPr>
              <w:rPr>
                <w:rFonts w:ascii="Times New Roman" w:hAnsi="Times New Roman" w:cs="Times New Roman"/>
                <w:bCs/>
                <w:sz w:val="24"/>
                <w:szCs w:val="24"/>
                <w:lang w:val="uk-UA"/>
              </w:rPr>
            </w:pPr>
            <w:r>
              <w:rPr>
                <w:rFonts w:ascii="Times New Roman" w:hAnsi="Times New Roman" w:cs="Times New Roman"/>
                <w:bCs/>
                <w:sz w:val="24"/>
                <w:szCs w:val="24"/>
                <w:lang w:val="uk-UA"/>
              </w:rPr>
              <w:t>Проведення театралізованих ігор, виступи під час свята «Мамин день»</w:t>
            </w:r>
          </w:p>
          <w:p w14:paraId="6BF248F2">
            <w:pPr>
              <w:rPr>
                <w:rFonts w:ascii="Times New Roman" w:hAnsi="Times New Roman" w:cs="Times New Roman"/>
                <w:bCs/>
                <w:sz w:val="24"/>
                <w:szCs w:val="24"/>
                <w:lang w:val="uk-UA"/>
              </w:rPr>
            </w:pPr>
            <w:r>
              <w:rPr>
                <w:rFonts w:ascii="Times New Roman" w:hAnsi="Times New Roman" w:cs="Times New Roman"/>
                <w:bCs/>
                <w:sz w:val="24"/>
                <w:szCs w:val="24"/>
                <w:lang w:val="uk-UA"/>
              </w:rPr>
              <w:t>Режисерські, рольові ігри та ігри-драматизації «Допоможи Катрусі», «Білий зайчик та рижий лис», «Разом все зробимо!»</w:t>
            </w:r>
          </w:p>
          <w:p w14:paraId="267E8883">
            <w:pPr>
              <w:rPr>
                <w:rFonts w:ascii="Times New Roman" w:hAnsi="Times New Roman" w:cs="Times New Roman"/>
                <w:bCs/>
                <w:sz w:val="24"/>
                <w:szCs w:val="24"/>
                <w:lang w:val="uk-UA"/>
              </w:rPr>
            </w:pPr>
            <w:r>
              <w:rPr>
                <w:rFonts w:ascii="Times New Roman" w:hAnsi="Times New Roman" w:cs="Times New Roman"/>
                <w:bCs/>
                <w:sz w:val="24"/>
                <w:szCs w:val="24"/>
                <w:lang w:val="uk-UA"/>
              </w:rPr>
              <w:t>Мовленнєві ігри та лексичні вправи</w:t>
            </w:r>
          </w:p>
          <w:p w14:paraId="193BC8EB">
            <w:pPr>
              <w:rPr>
                <w:rFonts w:ascii="Times New Roman" w:hAnsi="Times New Roman" w:cs="Times New Roman"/>
                <w:bCs/>
                <w:sz w:val="24"/>
                <w:szCs w:val="24"/>
                <w:lang w:val="uk-UA"/>
              </w:rPr>
            </w:pPr>
            <w:r>
              <w:rPr>
                <w:rFonts w:ascii="Times New Roman" w:hAnsi="Times New Roman" w:cs="Times New Roman"/>
                <w:bCs/>
                <w:sz w:val="24"/>
                <w:szCs w:val="24"/>
                <w:lang w:val="uk-UA"/>
              </w:rPr>
              <w:t>Самостійна робота дітей над постановкою сюжету казки «Кіт та шкодливі миші», підготовкою вистави та її демонстрація для глядачів.</w:t>
            </w:r>
          </w:p>
        </w:tc>
        <w:tc>
          <w:tcPr>
            <w:tcW w:w="4961" w:type="dxa"/>
            <w:vAlign w:val="center"/>
          </w:tcPr>
          <w:p w14:paraId="33543CE6">
            <w:pPr>
              <w:rPr>
                <w:rFonts w:ascii="Times New Roman" w:hAnsi="Times New Roman" w:cs="Times New Roman"/>
                <w:bCs/>
                <w:sz w:val="24"/>
                <w:szCs w:val="24"/>
                <w:lang w:val="uk-UA"/>
              </w:rPr>
            </w:pPr>
            <w:r>
              <w:rPr>
                <w:rFonts w:ascii="Times New Roman" w:hAnsi="Times New Roman" w:cs="Times New Roman"/>
                <w:bCs/>
                <w:sz w:val="24"/>
                <w:szCs w:val="24"/>
                <w:lang w:val="uk-UA"/>
              </w:rPr>
              <w:t>Активізація та збагачення словникового запасу дітей, а також розширення їхнього знайомства з театральною термінологією. Опанування засобів образної виразності, таких як інтонація, пози, жести, міміка та пантоміма, і ознайомлення з основами театру. Розвиток навичок аналізу літературних творів та формування вміння правильно використовувати допоміжні слова, поповнення театральної лексики та усунення нелітературних висловів.</w:t>
            </w:r>
          </w:p>
        </w:tc>
      </w:tr>
    </w:tbl>
    <w:p w14:paraId="12CD604F">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Розглянемо детально структуру побудови занять із дітьми, які мають мовленнєві труднощі, з використанням засобів театралізованої діяльності, мистецтва та ігрових і сюжетно-рольових технологій.</w:t>
      </w:r>
    </w:p>
    <w:p w14:paraId="4AD7E0CF">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Перший етап методики, вхідний, тривав три місяці і здійснювався з дітьми під час занять з художньої літератури, розвитку мовлення, а також у процесі самостійної ігрової діяльності протягом дня, а також під час свят та розваг. Головною метою цього етапу було формування лексичного компонента мовлення дітей. На цьому етапі було досягнуто таких результатів: розширення словникового запасу старших дошкільників за рахунок лексики українських народних казок, театральних термінів та нових слів. Протягом цього етапу, за допомогою різних видів діяльності, що включали художні твори та тексти для театралізації, виконано педагогічну умову – створення наочно-ігрового середовища для стимулювання формування лексичного компонента мовлення дітей старшого дошкільного віку з мовленнєвими труднощами.</w:t>
      </w:r>
    </w:p>
    <w:p w14:paraId="266521BD">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Ефективне впровадження методики формування лексичного компонента мовлення у дітей з мовленнєвими труднощами у театрально-ігровій діяльності забезпечувалося використанням таких методів, як показ лялькових вистав і гра-драматизація, а також прийомів: називання з демонстрацією та пояснення. У мовленнєвій діяльності ця педагогічна умова втілювалася через такі методи, як прослуховування аудіозаписів казок, сумісний перегляд відеоматеріалів, а також прийоми: повторення, запитання-відповіді, включення слова в речення та поєднання демонстрації з іншими словами.</w:t>
      </w:r>
    </w:p>
    <w:p w14:paraId="6D421EA4">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Під час мовленнєвої діяльності проводили бесіди про театр, читали й переказували українські народні казки, вірші, утішки, скоромовки, чистомовки, лічилки, загадки; виконували етюди на розвиток виразного мовлення. Дітям пояснювали театральну термінологію, включаючи такі поняття, як: актор, артист, вистава, глядачі, дзвінок, зала, каса, квиток, костюми, ляльки, місце, оплески, ряд, сцена, театр, художник. Окрім цього, проводилась підготовча робота, а саме вивчення текстів, створення разом із вихователем елементів костюмів і декорацій, постановка мінівистав за мотивами народних казок, віршів і оповідань. </w:t>
      </w:r>
    </w:p>
    <w:p w14:paraId="58841D79">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Особливу увагу приділяли розвитку у дітей інтересу до взаємодії та спілкування з ляльками, а також знайомству з емоційними станами і способами їх вираження як вербальними, так і невербальними засобами. Акцентували увагу на моделях поведінки з ляльками та іграшковими тваринами, а також на аналізі вчинків персонажів. Для цього використовувалися ігри з ляльками, режисерські ігри та ігри-драматизації, засновані на спеціально підготовлених оповіданнях.</w:t>
      </w:r>
    </w:p>
    <w:p w14:paraId="73868F25">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На другому етапі роботи були впроваджені дві педагогічні умови: використання емоційно-експресивних, наочно-дієвих і мовних засобів взаємодії в театрально-ігровій діяльності, а також інтеграція різних форм художньо-мовленнєвої діяльності дітей.</w:t>
      </w:r>
    </w:p>
    <w:p w14:paraId="27044412">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Перша умова була реалізована через ігрові методи, такі як режисерські і рольові ігри, а також образно-ігрові етюди, які мали репродуктивний та імпровізаційний характер. Для цього застосовувалися методи пояснення значення, запитання та уточнення розуміння. У трудовій діяльності ця умова реалізовувалася через постановку вистав за казками з використанням методів пояснення та словесного коментаря.</w:t>
      </w:r>
    </w:p>
    <w:p w14:paraId="254B8C77">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Друга педагогічна умова була реалізована через мовленнєву діяльність, що включала читання та розповідання українських казок, оповідань і віршів. Для цього використовувалися такі методи, як розповіді, читання художніх текстів, виконання вправ, дитячі розповіді, бесіди, а також розучування творів усної народної творчості та ознайомлення з театральною термінологією. У театралізованій діяльності застосовувалися самостійні ігри з ляльками та іграшками, ігри-імітації та ігри-вправи, зокрема, методи назв або демонстрації вимови нових і складних слів.</w:t>
      </w:r>
    </w:p>
    <w:p w14:paraId="5E05EF1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На цьому етапі основна увага була зосереджена на збагаченні емоційно-оцінної лексики. Під час ігор підтримували позитивне емоційне ставлення до іграшок, процесу гри та партнерів. Різні види діяльності сприяли формуванню інтересу у дітей до емоційних проявів і поведінки персонажів; їх навчали використовувати міміку та пантоміміку для вираження емоцій персонажів у театралізованих іграх.</w:t>
      </w:r>
    </w:p>
    <w:p w14:paraId="298D32C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Для досягнення цілей другого етапу, а саме формування лексичної структури мовлення, розвиток зв'язного мовлення і сюжетоскладання, виховання поважного ставлення до рідної мови, уточнення, наповнення та закріплення словника, застосовувалися різні методи роботи, орієнтовані на збагачення словникового запасу через театрально-ігрову діяльність. Ігровий напрям передбачав активне залучення дітей у різноманітні ігри протягом дня з метою розвитку емоційно-чуттєвого сприйняття і навичок опису відчуттів під час ігрових вистав. </w:t>
      </w:r>
    </w:p>
    <w:p w14:paraId="1A73A99B">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Основна мета другого етапу впровадження методики формування лексичного компонента мовлення у дітей з мовленнєвими труднощами полягала у створенні та оформленні дітьми мінівистав за казками. На цьому етапі кожна дитина брала на себе різні ролі, такі як декоратор, режисер або організатор постановки. Учасники команди готували відповідні елементи згідно з обраними ролями. Підготовлені вистави представлялися на спеціально організованих прем'єрних показах, куди запрошували батьків і гостей. Батьки також були залучені до процесу підготовки вистав. До кожної казки діти підбирали знайомі прислів’я та вивчали нові. Також застосовували етюди для розвитку виразності мовлення з використанням усної народної творчості та тренування дикції.</w:t>
      </w:r>
    </w:p>
    <w:p w14:paraId="594F22A4">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На формувальному етапі, який тривав місяць, основна увага була спрямована на правильне розуміння слів, їхнє використання та подальше розширення активного словника. Продовжувалася робота з активізації словникового запасу дітей, зокрема шляхом впровадження назв предметів, їхніх якостей, властивостей і дій, таких як іменники, прикметники та дієслова. Зокрема, уточнювалися загальновживані поняття, такі як іграшки, одяг, меблі, овочі, посуд, а також назви дій, пов’язаних із рухом іграшок і тварин.</w:t>
      </w:r>
    </w:p>
    <w:p w14:paraId="1A3AFCA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Метою третього заключного етапу, який тривав місяць, була активізація, уточнення та збагачення словникового запасу дітей. Проаналізували педагогічну умову комплексного підходу до лексичного розвитку дошкільників у театрально-ігровій діяльності. Робота велася за театральним напрямком, у межах якого до свят та розваг проводилися театралізовані вистави, а також театр маріонеток із поясненнями, словесними коментарями, імпровізаціями; та ігровим напрямком, в рамках якого проводилися ігри та тренінги, застосовувалися метод ігрової імпровізації, метод дійового аналізу, етюдна методика, словесне малювання, словесна гра.</w:t>
      </w:r>
    </w:p>
    <w:p w14:paraId="31B1976A">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Методика роботи на цьому етапі передбачала стимулювання дітей до самостійної творчої діяльності. Дітей навчали поступово переходити від гри за одним літературним або фольклорним текстом до контамінаційної гри, що передбачало вільне створення сюжету, де літературний текст поєднувався з власною інтерпретацією дитини або об’єднував кілька казок. Діти переходили від ігор, що зосереджені на використанні засобів виразності для передачі характеристик персонажа, до ігор, які забезпечували можливість самовираження через образ героя. Зосередженість зміщувалася з ігор, де основною була роль артиста, на ігри, що включали різні ролі, такі як артист, режисер, сценарист, оформлювач, костюмер, що дозволяло дітям обирати ту роль, яка найбільше відповідала їхнім здібностям та інтересам. Перехід від театралізованої гри до театрально-ігрової діяльності сприяв розвитку самовираження і самореалізації у дітей старшого дошкільного віку, які мають мовленнєві труднощі.</w:t>
      </w:r>
    </w:p>
    <w:p w14:paraId="2BAF3C6D">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У ході цієї роботи відбувалося збагачення театрально-ігрового досвіду дітей шляхом освоєння різних форм драматизаційних і режисерських ігор. Досвід гри-драматизації поглиблювався, оскільки діти ставали більш самостійними та активними у виборі змісту ігор, творчо підходили до цього процесу. Крім образно-ігрових етюдів, ігор-імпровізацій та інсценізацій, діти отримали можливість самостійно ставити вистави, включно з колажем із кількох літературних творів.</w:t>
      </w:r>
    </w:p>
    <w:p w14:paraId="5321C62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Підсумовуючи, важливо відзначити, що створення умов для розвитку мовлення дитини є критично важливим як для роботи дошкільного закладу, так і для виховання вдома. Підтримка мовленнєвого розвитку в дошкільному віці допомагає дитині покращувати мовленнєві навички, що сприяє успішному навчанню в школі та комфортному спілкуванню з однолітками і дорослими. Розширений словниковий запас і граматична правильність мови є суттєвими для подальшого навчання і розвитку дитини.</w:t>
      </w:r>
    </w:p>
    <w:p w14:paraId="2FD32DD5">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Формування мовлення у дітей дошкільного віку є важливою складовою їхнього розвитку, особливо для дітей з мовленнєвими труднощами. Лексичний компонент мовлення, що включає в себе знання слів та їх правильне використання в контексті, має значний вплив на загальний розвиток дитини. Театралізована діяльність, завдяки своїй інтерактивності та креативності, є ефективним засобом для формування лексичного компонента мовлення у дітей. </w:t>
      </w:r>
    </w:p>
    <w:p w14:paraId="6CE878E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Розглянемо основні засоби театралізованої діяльності для формування лексичного компонента мовлення у дітей дошкільного віку з мовленнєвими труднощами. </w:t>
      </w:r>
    </w:p>
    <w:p w14:paraId="21D99155">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1. Театральні ігри є потужним інструментом для розвитку лексики у дітей дошкільного віку. Через ігрову діяльність діти мають можливість активно використовувати нові слова в контексті. Наприклад: </w:t>
      </w:r>
    </w:p>
    <w:p w14:paraId="45A49264">
      <w:pPr>
        <w:pStyle w:val="14"/>
        <w:numPr>
          <w:ilvl w:val="0"/>
          <w:numId w:val="6"/>
        </w:numPr>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Рольові ігри: діти виконують ролі персонажів з казок або вигаданих ситуацій, що дає змогу їм практикувати нові слова і вирази в реальних діалогах. Такі ігри можуть включати сценарії, де діти взаємодіють у рамках певних сюжетів, що сприяє розширенню їхнього словникового запасу. Рольові ігри дійсно є важливим інструментом для розвитку мовленнєвих навичок у дітей. Коли діти грають у персонажів з казок або вигаданих ситуацій, вони мають можливість практикувати нові слова і вирази в натуральних діалогах. Це сприяє не лише розширенню їхнього словникового запасу, а й розвитку креативності, соціальних навичок та уяви. Сценарії рольових ігор допомагають дітям взаємодіяти у рамках певних сюжетів, що стимулює їхню мовну та когнітивну активність. Такий підхід до навчання може бути як корисним, так і захопливим для маленьких учасників.</w:t>
      </w:r>
    </w:p>
    <w:p w14:paraId="2D351DF1">
      <w:pPr>
        <w:pStyle w:val="14"/>
        <w:numPr>
          <w:ilvl w:val="0"/>
          <w:numId w:val="6"/>
        </w:numPr>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Ігри з ляльками: ляльки стають чудовим засобом для навчання нових слів. Діти можуть створювати та грати сценки з ляльками, використовуючи нові слова і фрази, що допомагає закріпити лексичні знання в інтерактивній формі, та також розвиває їх уяву, креативність та комунікативні навички. Гра з ляльками сприяє розвитку мовлення та викликає інтерес до вивчення мови. Це захоплюючий і ефективний спосіб розвивати мовлення у дітей.</w:t>
      </w:r>
    </w:p>
    <w:p w14:paraId="0C21735E">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2. Театральні постановки можуть бути використані для розвитку лексичного компонента мовлення через:</w:t>
      </w:r>
    </w:p>
    <w:p w14:paraId="71EBB657">
      <w:pPr>
        <w:pStyle w:val="14"/>
        <w:numPr>
          <w:ilvl w:val="0"/>
          <w:numId w:val="7"/>
        </w:numPr>
        <w:spacing w:line="360" w:lineRule="auto"/>
        <w:ind w:left="1418" w:hanging="284"/>
        <w:jc w:val="both"/>
        <w:rPr>
          <w:rFonts w:ascii="Times New Roman" w:hAnsi="Times New Roman" w:cs="Times New Roman"/>
          <w:bCs/>
          <w:sz w:val="28"/>
          <w:szCs w:val="28"/>
          <w:lang w:val="uk-UA"/>
        </w:rPr>
      </w:pPr>
      <w:r>
        <w:rPr>
          <w:rFonts w:ascii="Times New Roman" w:hAnsi="Times New Roman" w:cs="Times New Roman"/>
          <w:bCs/>
          <w:sz w:val="28"/>
          <w:szCs w:val="28"/>
          <w:lang w:val="uk-UA"/>
        </w:rPr>
        <w:t>Вистави: підготовка і виступи з театральними постановками дозволяють дітям вивчати нові слова через повторення діалогів та монологів. Вистави можуть бути адаптовані під рівень мовленнєвих можливостей дітей, що допомагає їм краще запам’ятовувати нову лексику. Вистави є чудовим способом вивчання нових слів для дітей через рольову гру та повторення діалогів та монологів. Адаптація вистав до рівня мовленнєвих можливостей дітей є дуже важливою, оскільки це допомагає їм краще запам'ятовувати нову лексику. Такий метод навчання не лише розвиває мовні навички, а й сприяє розвитку творчості та самовираження у дітей.</w:t>
      </w:r>
    </w:p>
    <w:p w14:paraId="245499C0">
      <w:pPr>
        <w:pStyle w:val="14"/>
        <w:numPr>
          <w:ilvl w:val="0"/>
          <w:numId w:val="7"/>
        </w:numPr>
        <w:spacing w:line="360" w:lineRule="auto"/>
        <w:ind w:left="1418"/>
        <w:jc w:val="both"/>
        <w:rPr>
          <w:rFonts w:ascii="Times New Roman" w:hAnsi="Times New Roman" w:cs="Times New Roman"/>
          <w:bCs/>
          <w:sz w:val="28"/>
          <w:szCs w:val="28"/>
          <w:lang w:val="uk-UA"/>
        </w:rPr>
      </w:pPr>
      <w:r>
        <w:rPr>
          <w:rFonts w:ascii="Times New Roman" w:hAnsi="Times New Roman" w:cs="Times New Roman"/>
          <w:bCs/>
          <w:sz w:val="28"/>
          <w:szCs w:val="28"/>
          <w:lang w:val="uk-UA"/>
        </w:rPr>
        <w:t>Імпровізація: імпровізаційні елементи в театральних постановках заохочують дітей використовувати нові слова у спонтанних ситуаціях, що сприяє розвитку їхньої мовленнєвої спроможності, або навіть можуть стимулювати їхню творчість та уяву. Імпровізаційні елементи в театральних постановках допомагають дітям не лише розвивати навички виступу на сцені, але й вдосконалювати комунікативні здібності. Завдяки цим елементам діти вивчають нові слова, вчаться адаптуватися до різних ситуацій та виражати свої думки й почуття більш ефективно. Такий підхід до навчання мови може бути цікавим і корисним для юних учасників.</w:t>
      </w:r>
    </w:p>
    <w:p w14:paraId="50C5010E">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3. Музично-драматичні вправи включають в себе поєднання музики та театру, що є ефективним способом розвитку лексичного компонента:</w:t>
      </w:r>
    </w:p>
    <w:p w14:paraId="7C9D9234">
      <w:pPr>
        <w:pStyle w:val="14"/>
        <w:numPr>
          <w:ilvl w:val="0"/>
          <w:numId w:val="8"/>
        </w:numPr>
        <w:spacing w:line="360" w:lineRule="auto"/>
        <w:ind w:left="1418"/>
        <w:jc w:val="both"/>
        <w:rPr>
          <w:rFonts w:ascii="Times New Roman" w:hAnsi="Times New Roman" w:cs="Times New Roman"/>
          <w:bCs/>
          <w:sz w:val="28"/>
          <w:szCs w:val="28"/>
          <w:lang w:val="uk-UA"/>
        </w:rPr>
      </w:pPr>
      <w:r>
        <w:rPr>
          <w:rFonts w:ascii="Times New Roman" w:hAnsi="Times New Roman" w:cs="Times New Roman"/>
          <w:bCs/>
          <w:sz w:val="28"/>
          <w:szCs w:val="28"/>
          <w:lang w:val="uk-UA"/>
        </w:rPr>
        <w:t>Пісні і ритмічні ігри: спів та ритмічні ігри з піснями допомагають дітям запам’ятовувати нові слова через музичний ритм і мелодію. Включення жестів та рухів під час виконання пісень покращує запам’ятовування лексики. Такий підхід до навчання виявляється дуже ефективним, оскільки музика має великий вплив на запам'ятовування і сприйняття інформації. Рухи тіла допомагають закріпити нові слова та їх значення у пам'яті дітей через рухову пам'ять. Такі співанки та руханки не лише роблять процес навчання більш захопливим, а й допомагають активізувати різні частини мозку, сприяючи кращому засвоєнню матеріалу.</w:t>
      </w:r>
    </w:p>
    <w:p w14:paraId="7529553D">
      <w:pPr>
        <w:pStyle w:val="14"/>
        <w:numPr>
          <w:ilvl w:val="0"/>
          <w:numId w:val="8"/>
        </w:numPr>
        <w:spacing w:line="360" w:lineRule="auto"/>
        <w:ind w:left="1418"/>
        <w:jc w:val="both"/>
        <w:rPr>
          <w:rFonts w:ascii="Times New Roman" w:hAnsi="Times New Roman" w:cs="Times New Roman"/>
          <w:bCs/>
          <w:sz w:val="28"/>
          <w:szCs w:val="28"/>
          <w:lang w:val="uk-UA"/>
        </w:rPr>
      </w:pPr>
      <w:r>
        <w:rPr>
          <w:rFonts w:ascii="Times New Roman" w:hAnsi="Times New Roman" w:cs="Times New Roman"/>
          <w:bCs/>
          <w:sz w:val="28"/>
          <w:szCs w:val="28"/>
          <w:lang w:val="uk-UA"/>
        </w:rPr>
        <w:t>Музичні казки: включення музичних елементів у казкові постановки робить їх більш привабливими для дітей і допомагає їм краще запам’ятовувати нові слова в контексті. Так, включення музичних елементів у казкові постановки може значно підвищити інтерес дітей до навчання і розвитку. Музика має сильний вплив на наші почуття і емоції, тому вона додає емоційності та захоплення до казок. Коли діти співають або танцюють під час казкових постановок, вони активно взаємодіють з матеріалом і краще запам'ятовують нові слова та ідеї. Такий підхід до навчання сприяє розвитку мовленнєвих та когнітивних навичок у дітей.</w:t>
      </w:r>
    </w:p>
    <w:p w14:paraId="0A2D27E2">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4. Ляльковий театр є ефективним засобом для формування лексики, оскільки він дає змогу дітям:</w:t>
      </w:r>
    </w:p>
    <w:p w14:paraId="4C1C31BC">
      <w:pPr>
        <w:pStyle w:val="14"/>
        <w:numPr>
          <w:ilvl w:val="1"/>
          <w:numId w:val="9"/>
        </w:numPr>
        <w:spacing w:line="360" w:lineRule="auto"/>
        <w:ind w:left="1418" w:hanging="284"/>
        <w:jc w:val="both"/>
        <w:rPr>
          <w:rFonts w:ascii="Times New Roman" w:hAnsi="Times New Roman" w:cs="Times New Roman"/>
          <w:bCs/>
          <w:sz w:val="28"/>
          <w:szCs w:val="28"/>
          <w:lang w:val="uk-UA"/>
        </w:rPr>
      </w:pPr>
      <w:r>
        <w:rPr>
          <w:rFonts w:ascii="Times New Roman" w:hAnsi="Times New Roman" w:cs="Times New Roman"/>
          <w:bCs/>
          <w:sz w:val="28"/>
          <w:szCs w:val="28"/>
          <w:lang w:val="uk-UA"/>
        </w:rPr>
        <w:t>Акторська гра з ляльками: діти можуть виконувати ролі персонажів, що сприяє активному використанню нових слів і виразів. Ляльки допомагають зняти страх перед мовленням і дозволяють дитині відчути себе в ролі іншої особи, що позитивно впливає на використання лексики. Гра з ляльками – це чудовий спосіб розвивати мовленнєві навички у дітей. Вона дозволяє їм не лише відчути себе в ролі різних персонажів, але й використовувати нові слова і вирази в активній грі. Ляльки можуть стати вірними помічниками у подоланні страху перед мовленням, оскільки вони допомагають дітям відчути себе комфортно та безпечно у новій ролі. Це сприяє розвитку лексики та мовленнєвої впевненості у дітей.</w:t>
      </w:r>
    </w:p>
    <w:p w14:paraId="333B719C">
      <w:pPr>
        <w:pStyle w:val="14"/>
        <w:numPr>
          <w:ilvl w:val="1"/>
          <w:numId w:val="9"/>
        </w:numPr>
        <w:spacing w:line="360" w:lineRule="auto"/>
        <w:ind w:left="1418" w:hanging="284"/>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Ігри з ляльками: ляльки можуть використовуватися для створення сценок та ігор, що допомагає дітям практикувати нові слова в інтерактивному середовищі. Також граючись у ігри з ляльками, діти розвивають свою уяву та креативність, вчаться спілкуватися та співпрацювати з іншими. </w:t>
      </w:r>
    </w:p>
    <w:p w14:paraId="0A6CCDB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Це також допомагає дітям розвивати соціальні навички та вчить їх емпатії та розуміння почуттів інших. Ігри з ляльками можуть бути веселим та корисним способом навчання для дітей будь-якого віку.</w:t>
      </w:r>
    </w:p>
    <w:p w14:paraId="25191B5C">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5. Казкотерапія використовує казки та їх елементи для розвитку мовлення, а саме такі засоби:</w:t>
      </w:r>
    </w:p>
    <w:p w14:paraId="537E322F">
      <w:pPr>
        <w:pStyle w:val="14"/>
        <w:numPr>
          <w:ilvl w:val="1"/>
          <w:numId w:val="10"/>
        </w:numPr>
        <w:spacing w:line="360" w:lineRule="auto"/>
        <w:ind w:left="1276" w:hanging="142"/>
        <w:jc w:val="both"/>
        <w:rPr>
          <w:rFonts w:ascii="Times New Roman" w:hAnsi="Times New Roman" w:cs="Times New Roman"/>
          <w:bCs/>
          <w:sz w:val="28"/>
          <w:szCs w:val="28"/>
          <w:lang w:val="uk-UA"/>
        </w:rPr>
      </w:pPr>
      <w:r>
        <w:rPr>
          <w:rFonts w:ascii="Times New Roman" w:hAnsi="Times New Roman" w:cs="Times New Roman"/>
          <w:bCs/>
          <w:sz w:val="28"/>
          <w:szCs w:val="28"/>
          <w:lang w:val="uk-UA"/>
        </w:rPr>
        <w:t>Розповідь казок: читання та обговорення казок допомагають дітям розширювати свій словниковий запас, оскільки вони знайомляться з новими словами та їх контекстом. Казки — це чудовий інструмент для розвитку мовлення та словникового запасу в дітей. Під час читання казок малеча не лише вчиться новим словам, а й знайомиться з їх значенням і контекстом вживання. Цей процес не лише допомагає розширити словниковий запас, але й розвиває уяву, креативність та емоційну інтелектуальну сферу дитини. Через обговорення прочитаної казки, діти навчаються виражати свої думки та почуття, а також розвивають навички логічного мислення. Таким чином, читання та обговорення казок важливі для повноцінного розвитку дитини.</w:t>
      </w:r>
    </w:p>
    <w:p w14:paraId="66541027">
      <w:pPr>
        <w:pStyle w:val="14"/>
        <w:numPr>
          <w:ilvl w:val="1"/>
          <w:numId w:val="10"/>
        </w:numPr>
        <w:spacing w:line="360" w:lineRule="auto"/>
        <w:ind w:left="1276" w:hanging="142"/>
        <w:jc w:val="both"/>
        <w:rPr>
          <w:rFonts w:ascii="Times New Roman" w:hAnsi="Times New Roman" w:cs="Times New Roman"/>
          <w:bCs/>
          <w:sz w:val="28"/>
          <w:szCs w:val="28"/>
          <w:lang w:val="uk-UA"/>
        </w:rPr>
      </w:pPr>
      <w:r>
        <w:rPr>
          <w:rFonts w:ascii="Times New Roman" w:hAnsi="Times New Roman" w:cs="Times New Roman"/>
          <w:bCs/>
          <w:sz w:val="28"/>
          <w:szCs w:val="28"/>
          <w:lang w:val="uk-UA"/>
        </w:rPr>
        <w:t>Театралізація казок: перетворення казок на театральні постановки дозволяє дітям активніше використовувати нові слова, що закріплює їх у пам’яті. Так, перетворення казок на театральні постановки є чудовим способом активізації дітей та закріплення нових слів у їхній пам'яті. Граючи в різні ролі та відтворюючи сюжети казок на сцені, діти отримують можливість використовувати різноманітну лексику та виразно висловлювати свої думки. Цей процес допомагає їм краще розуміти значення слів, а також запам'ятовувати їх, оскільки вони використовуються в конкретному контексті. Таким чином, театральні постановки казок стимулюють мовленнєвий розвиток дітей та сприяють їхньому навчанню.</w:t>
      </w:r>
    </w:p>
    <w:p w14:paraId="4456761D">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Отже, театралізована діяльність є важливим засобом для формування лексичного компонента мовлення у дітей дошкільного віку з мовленнєвими труднощами. Використання театральних ігор, постановок, музично-драматичних вправ, лялькового театру та казкотерапії допомагає дітям розширювати їхній словниковий запас, покращувати мовленнєві навички та долати мовленнєві труднощі. Інтеграція цих методів у навчальний процес забезпечує ефективний підхід до розвитку мовлення та сприяє всебічному розвитку дітей.</w:t>
      </w:r>
    </w:p>
    <w:bookmarkEnd w:id="3"/>
    <w:p w14:paraId="06EA4D89">
      <w:pPr>
        <w:spacing w:line="360" w:lineRule="auto"/>
        <w:ind w:firstLine="709"/>
        <w:jc w:val="both"/>
        <w:rPr>
          <w:rFonts w:ascii="Times New Roman" w:hAnsi="Times New Roman" w:cs="Times New Roman"/>
          <w:bCs/>
          <w:sz w:val="28"/>
          <w:szCs w:val="28"/>
          <w:lang w:val="uk-UA"/>
        </w:rPr>
      </w:pPr>
    </w:p>
    <w:p w14:paraId="00A9086D">
      <w:pPr>
        <w:spacing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3.2. Результати експериментального впровадження методики формування лексичного компонента мовлення</w:t>
      </w:r>
    </w:p>
    <w:p w14:paraId="78987456">
      <w:pPr>
        <w:spacing w:line="360" w:lineRule="auto"/>
        <w:ind w:firstLine="709"/>
        <w:jc w:val="both"/>
        <w:rPr>
          <w:rFonts w:ascii="Times New Roman" w:hAnsi="Times New Roman" w:cs="Times New Roman"/>
          <w:bCs/>
          <w:sz w:val="28"/>
          <w:szCs w:val="28"/>
          <w:lang w:val="uk-UA"/>
        </w:rPr>
      </w:pPr>
    </w:p>
    <w:p w14:paraId="788CBF5E">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Мета контрольного етапу експерименту полягала в оцінці ефективності методики формування лексичного компонента мовлення у дітей з мовленнєвими труднощами за допомогою засобів мистецтва та театралізованого дійства. Для оцінювання результатів ми використали ті ж методики дослідження мовленнєвого розвитку, що і на етапі констатувального експерименту. </w:t>
      </w:r>
    </w:p>
    <w:p w14:paraId="4E9E058B">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Слід зазначити, що досліджувані дошкільнята контрольної групи також займалися з логопедом за рівнозначною програмою формування лексичного компонента мовлення, але до них не були застосовані засобів мистецтва та театралізованого дійства, описані у представленому дослідженні.</w:t>
      </w:r>
    </w:p>
    <w:p w14:paraId="5DD39E9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Результати дослідження (табл. 3.2.) показують, що в контрольній групі рівень сформованості лексичного компонента мовлення дітей змінився, але динаміка змін незначна. У той час, як у експериментальній групі всі діти досягли середнього рівня розвитку, також є дошкільнята і з високим рівнем розвитку лексичного компонента мовлення. </w:t>
      </w:r>
    </w:p>
    <w:p w14:paraId="59116A82">
      <w:pPr>
        <w:spacing w:line="360" w:lineRule="auto"/>
        <w:ind w:firstLine="709"/>
        <w:jc w:val="right"/>
        <w:rPr>
          <w:rFonts w:ascii="Times New Roman" w:hAnsi="Times New Roman" w:cs="Times New Roman"/>
          <w:bCs/>
          <w:i/>
          <w:sz w:val="28"/>
          <w:szCs w:val="28"/>
          <w:lang w:val="uk-UA"/>
        </w:rPr>
      </w:pPr>
      <w:r>
        <w:rPr>
          <w:rFonts w:ascii="Times New Roman" w:hAnsi="Times New Roman" w:cs="Times New Roman"/>
          <w:bCs/>
          <w:i/>
          <w:sz w:val="28"/>
          <w:szCs w:val="28"/>
          <w:lang w:val="uk-UA"/>
        </w:rPr>
        <w:t>Таблиця 3.2.</w:t>
      </w:r>
    </w:p>
    <w:p w14:paraId="3DB73D3B">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Результати контрольного етапу дослідження щодо визначення рівня сформованості лексичного компонента мовлення у дітей 5-6 років, </w:t>
      </w:r>
      <w:r>
        <w:rPr>
          <w:rFonts w:ascii="Times New Roman" w:hAnsi="Times New Roman" w:cs="Times New Roman"/>
          <w:b/>
          <w:sz w:val="28"/>
          <w:szCs w:val="28"/>
          <w:lang w:val="uk-UA"/>
        </w:rPr>
        <w:br w:type="textWrapping"/>
      </w:r>
      <w:r>
        <w:rPr>
          <w:rFonts w:ascii="Times New Roman" w:hAnsi="Times New Roman" w:cs="Times New Roman"/>
          <w:b/>
          <w:sz w:val="28"/>
          <w:szCs w:val="28"/>
          <w:lang w:val="uk-UA"/>
        </w:rPr>
        <w:t xml:space="preserve">які мають мовленнєві труднощі </w:t>
      </w:r>
      <w:r>
        <w:rPr>
          <w:rFonts w:ascii="Times New Roman" w:hAnsi="Times New Roman" w:cs="Times New Roman"/>
          <w:b/>
          <w:sz w:val="28"/>
          <w:szCs w:val="28"/>
          <w:lang w:val="uk-UA"/>
        </w:rPr>
        <w:br w:type="textWrapping"/>
      </w:r>
      <w:r>
        <w:rPr>
          <w:rFonts w:ascii="Times New Roman" w:hAnsi="Times New Roman" w:cs="Times New Roman"/>
          <w:b/>
          <w:sz w:val="28"/>
          <w:szCs w:val="28"/>
          <w:lang w:val="uk-UA"/>
        </w:rPr>
        <w:t>(після проведення формувального етапу дослідження)</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2084"/>
        <w:gridCol w:w="2268"/>
        <w:gridCol w:w="1729"/>
        <w:gridCol w:w="2382"/>
      </w:tblGrid>
      <w:tr w14:paraId="64F1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Merge w:val="restart"/>
            <w:vAlign w:val="center"/>
          </w:tcPr>
          <w:p w14:paraId="788DE62F">
            <w:pPr>
              <w:jc w:val="center"/>
              <w:rPr>
                <w:rFonts w:ascii="Times New Roman" w:hAnsi="Times New Roman" w:cs="Times New Roman"/>
                <w:sz w:val="28"/>
                <w:szCs w:val="28"/>
                <w:lang w:val="uk-UA"/>
              </w:rPr>
            </w:pPr>
            <w:r>
              <w:rPr>
                <w:rFonts w:ascii="Times New Roman" w:hAnsi="Times New Roman" w:cs="Times New Roman"/>
                <w:b/>
                <w:bCs/>
                <w:sz w:val="28"/>
                <w:szCs w:val="28"/>
                <w:lang w:val="uk-UA"/>
              </w:rPr>
              <w:t>Рівні розвитку мовлення</w:t>
            </w:r>
          </w:p>
        </w:tc>
        <w:tc>
          <w:tcPr>
            <w:tcW w:w="4352" w:type="dxa"/>
            <w:gridSpan w:val="2"/>
            <w:vAlign w:val="center"/>
          </w:tcPr>
          <w:p w14:paraId="01E6C4F7">
            <w:pPr>
              <w:jc w:val="center"/>
              <w:rPr>
                <w:rFonts w:ascii="Times New Roman" w:hAnsi="Times New Roman" w:cs="Times New Roman"/>
                <w:sz w:val="28"/>
                <w:szCs w:val="28"/>
                <w:lang w:val="uk-UA"/>
              </w:rPr>
            </w:pPr>
            <w:r>
              <w:rPr>
                <w:rFonts w:ascii="Times New Roman" w:hAnsi="Times New Roman" w:cs="Times New Roman"/>
                <w:b/>
                <w:bCs/>
                <w:sz w:val="28"/>
                <w:szCs w:val="28"/>
                <w:lang w:val="uk-UA"/>
              </w:rPr>
              <w:t>КГ (</w:t>
            </w:r>
            <w:r>
              <w:rPr>
                <w:rFonts w:ascii="Times New Roman" w:hAnsi="Times New Roman" w:cs="Times New Roman"/>
                <w:b/>
                <w:bCs/>
                <w:sz w:val="28"/>
                <w:szCs w:val="28"/>
              </w:rPr>
              <w:t>n=10)</w:t>
            </w:r>
          </w:p>
        </w:tc>
        <w:tc>
          <w:tcPr>
            <w:tcW w:w="4111" w:type="dxa"/>
            <w:gridSpan w:val="2"/>
            <w:vAlign w:val="center"/>
          </w:tcPr>
          <w:p w14:paraId="78D8E05B">
            <w:pPr>
              <w:jc w:val="center"/>
              <w:rPr>
                <w:rFonts w:ascii="Times New Roman" w:hAnsi="Times New Roman" w:cs="Times New Roman"/>
                <w:sz w:val="28"/>
                <w:szCs w:val="28"/>
                <w:lang w:val="uk-UA"/>
              </w:rPr>
            </w:pPr>
            <w:r>
              <w:rPr>
                <w:rFonts w:ascii="Times New Roman" w:hAnsi="Times New Roman" w:cs="Times New Roman"/>
                <w:b/>
                <w:bCs/>
                <w:sz w:val="28"/>
                <w:szCs w:val="28"/>
                <w:lang w:val="uk-UA"/>
              </w:rPr>
              <w:t>ЕГ (</w:t>
            </w:r>
            <w:r>
              <w:rPr>
                <w:rFonts w:ascii="Times New Roman" w:hAnsi="Times New Roman" w:cs="Times New Roman"/>
                <w:b/>
                <w:bCs/>
                <w:sz w:val="28"/>
                <w:szCs w:val="28"/>
              </w:rPr>
              <w:t>n=10)</w:t>
            </w:r>
          </w:p>
        </w:tc>
      </w:tr>
      <w:tr w14:paraId="04B35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Merge w:val="continue"/>
            <w:vAlign w:val="center"/>
          </w:tcPr>
          <w:p w14:paraId="1D7967CC">
            <w:pPr>
              <w:jc w:val="center"/>
              <w:rPr>
                <w:rFonts w:ascii="Times New Roman" w:hAnsi="Times New Roman" w:cs="Times New Roman"/>
                <w:sz w:val="28"/>
                <w:szCs w:val="28"/>
                <w:lang w:val="uk-UA"/>
              </w:rPr>
            </w:pPr>
          </w:p>
        </w:tc>
        <w:tc>
          <w:tcPr>
            <w:tcW w:w="2084" w:type="dxa"/>
            <w:vAlign w:val="center"/>
          </w:tcPr>
          <w:p w14:paraId="3E37A60C">
            <w:pPr>
              <w:jc w:val="center"/>
              <w:rPr>
                <w:rFonts w:ascii="Times New Roman" w:hAnsi="Times New Roman" w:cs="Times New Roman"/>
                <w:sz w:val="28"/>
                <w:szCs w:val="28"/>
                <w:lang w:val="uk-UA"/>
              </w:rPr>
            </w:pPr>
            <w:r>
              <w:rPr>
                <w:rFonts w:ascii="Times New Roman" w:hAnsi="Times New Roman" w:cs="Times New Roman"/>
                <w:sz w:val="28"/>
                <w:szCs w:val="28"/>
                <w:lang w:val="uk-UA"/>
              </w:rPr>
              <w:t>На початку дослідження</w:t>
            </w:r>
          </w:p>
        </w:tc>
        <w:tc>
          <w:tcPr>
            <w:tcW w:w="2268" w:type="dxa"/>
            <w:vAlign w:val="center"/>
          </w:tcPr>
          <w:p w14:paraId="11429C6A">
            <w:pPr>
              <w:jc w:val="center"/>
              <w:rPr>
                <w:rFonts w:ascii="Times New Roman" w:hAnsi="Times New Roman" w:cs="Times New Roman"/>
                <w:sz w:val="28"/>
                <w:szCs w:val="28"/>
                <w:lang w:val="uk-UA"/>
              </w:rPr>
            </w:pPr>
            <w:r>
              <w:rPr>
                <w:rFonts w:ascii="Times New Roman" w:hAnsi="Times New Roman" w:cs="Times New Roman"/>
                <w:sz w:val="28"/>
                <w:szCs w:val="28"/>
                <w:lang w:val="uk-UA"/>
              </w:rPr>
              <w:t>Після закінчення дослідження</w:t>
            </w:r>
          </w:p>
        </w:tc>
        <w:tc>
          <w:tcPr>
            <w:tcW w:w="1729" w:type="dxa"/>
            <w:vAlign w:val="center"/>
          </w:tcPr>
          <w:p w14:paraId="1EC2E2D7">
            <w:pPr>
              <w:jc w:val="center"/>
              <w:rPr>
                <w:rFonts w:ascii="Times New Roman" w:hAnsi="Times New Roman" w:cs="Times New Roman"/>
                <w:sz w:val="28"/>
                <w:szCs w:val="28"/>
                <w:lang w:val="uk-UA"/>
              </w:rPr>
            </w:pPr>
            <w:r>
              <w:rPr>
                <w:rFonts w:ascii="Times New Roman" w:hAnsi="Times New Roman" w:cs="Times New Roman"/>
                <w:sz w:val="28"/>
                <w:szCs w:val="28"/>
                <w:lang w:val="uk-UA"/>
              </w:rPr>
              <w:t>На початку дослідження</w:t>
            </w:r>
          </w:p>
        </w:tc>
        <w:tc>
          <w:tcPr>
            <w:tcW w:w="2382" w:type="dxa"/>
            <w:vAlign w:val="center"/>
          </w:tcPr>
          <w:p w14:paraId="391FE372">
            <w:pPr>
              <w:jc w:val="center"/>
              <w:rPr>
                <w:rFonts w:ascii="Times New Roman" w:hAnsi="Times New Roman" w:cs="Times New Roman"/>
                <w:sz w:val="28"/>
                <w:szCs w:val="28"/>
                <w:lang w:val="uk-UA"/>
              </w:rPr>
            </w:pPr>
            <w:r>
              <w:rPr>
                <w:rFonts w:ascii="Times New Roman" w:hAnsi="Times New Roman" w:cs="Times New Roman"/>
                <w:sz w:val="28"/>
                <w:szCs w:val="28"/>
                <w:lang w:val="uk-UA"/>
              </w:rPr>
              <w:t>Після закінчення дослідження</w:t>
            </w:r>
          </w:p>
        </w:tc>
      </w:tr>
      <w:tr w14:paraId="6ABF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5"/>
            <w:vAlign w:val="center"/>
          </w:tcPr>
          <w:p w14:paraId="4F2F22F9">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Кількість досліджуваних</w:t>
            </w:r>
          </w:p>
        </w:tc>
      </w:tr>
      <w:tr w14:paraId="03D6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5"/>
            <w:vAlign w:val="center"/>
          </w:tcPr>
          <w:p w14:paraId="07261128">
            <w:pPr>
              <w:jc w:val="center"/>
              <w:rPr>
                <w:rFonts w:ascii="Times New Roman" w:hAnsi="Times New Roman" w:cs="Times New Roman"/>
                <w:sz w:val="28"/>
                <w:szCs w:val="28"/>
                <w:lang w:val="uk-UA"/>
              </w:rPr>
            </w:pPr>
            <w:r>
              <w:rPr>
                <w:rFonts w:ascii="Times New Roman" w:hAnsi="Times New Roman" w:cs="Times New Roman"/>
                <w:b/>
                <w:bCs/>
                <w:sz w:val="28"/>
                <w:szCs w:val="28"/>
                <w:lang w:val="uk-UA"/>
              </w:rPr>
              <w:t>Дослідження стабілізації слухового сприймання</w:t>
            </w:r>
          </w:p>
        </w:tc>
      </w:tr>
      <w:tr w14:paraId="3A8A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13947A01">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084" w:type="dxa"/>
            <w:vAlign w:val="center"/>
          </w:tcPr>
          <w:p w14:paraId="5CE6C738">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268" w:type="dxa"/>
            <w:vAlign w:val="center"/>
          </w:tcPr>
          <w:p w14:paraId="436B834D">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729" w:type="dxa"/>
            <w:vAlign w:val="center"/>
          </w:tcPr>
          <w:p w14:paraId="178735DA">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382" w:type="dxa"/>
            <w:vAlign w:val="center"/>
          </w:tcPr>
          <w:p w14:paraId="67571CB0">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14:paraId="433D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136F78CF">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084" w:type="dxa"/>
            <w:vAlign w:val="center"/>
          </w:tcPr>
          <w:p w14:paraId="6A43DEEC">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2268" w:type="dxa"/>
            <w:vAlign w:val="center"/>
          </w:tcPr>
          <w:p w14:paraId="1636615A">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1729" w:type="dxa"/>
            <w:vAlign w:val="center"/>
          </w:tcPr>
          <w:p w14:paraId="64309531">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382" w:type="dxa"/>
            <w:vAlign w:val="center"/>
          </w:tcPr>
          <w:p w14:paraId="41583F64">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r>
      <w:tr w14:paraId="77B6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5374A613">
            <w:pPr>
              <w:jc w:val="cente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084" w:type="dxa"/>
            <w:vAlign w:val="center"/>
          </w:tcPr>
          <w:p w14:paraId="3239E7BC">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2268" w:type="dxa"/>
            <w:vAlign w:val="center"/>
          </w:tcPr>
          <w:p w14:paraId="30CB29F3">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729" w:type="dxa"/>
            <w:vAlign w:val="center"/>
          </w:tcPr>
          <w:p w14:paraId="31C5A045">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2382" w:type="dxa"/>
            <w:vAlign w:val="center"/>
          </w:tcPr>
          <w:p w14:paraId="31C2BEA2">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r>
      <w:tr w14:paraId="2A9C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5"/>
            <w:vAlign w:val="center"/>
          </w:tcPr>
          <w:p w14:paraId="3A17840C">
            <w:pPr>
              <w:jc w:val="center"/>
              <w:rPr>
                <w:rFonts w:ascii="Times New Roman" w:hAnsi="Times New Roman" w:cs="Times New Roman"/>
                <w:sz w:val="28"/>
                <w:szCs w:val="28"/>
                <w:lang w:val="uk-UA"/>
              </w:rPr>
            </w:pPr>
            <w:r>
              <w:rPr>
                <w:rFonts w:ascii="Times New Roman" w:hAnsi="Times New Roman" w:cs="Times New Roman"/>
                <w:b/>
                <w:bCs/>
                <w:sz w:val="28"/>
                <w:szCs w:val="28"/>
                <w:lang w:val="uk-UA"/>
              </w:rPr>
              <w:t>Розпізнавання різних рівнів лексичних узагальнень</w:t>
            </w:r>
          </w:p>
        </w:tc>
      </w:tr>
      <w:tr w14:paraId="7DFB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1984BE22">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084" w:type="dxa"/>
            <w:vAlign w:val="center"/>
          </w:tcPr>
          <w:p w14:paraId="40C2D270">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268" w:type="dxa"/>
            <w:vAlign w:val="center"/>
          </w:tcPr>
          <w:p w14:paraId="6C916043">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1729" w:type="dxa"/>
            <w:vAlign w:val="center"/>
          </w:tcPr>
          <w:p w14:paraId="0F36F667">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382" w:type="dxa"/>
            <w:vAlign w:val="center"/>
          </w:tcPr>
          <w:p w14:paraId="474EE5AB">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14:paraId="7A67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1203858D">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084" w:type="dxa"/>
            <w:vAlign w:val="center"/>
          </w:tcPr>
          <w:p w14:paraId="68641A4B">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2268" w:type="dxa"/>
            <w:vAlign w:val="center"/>
          </w:tcPr>
          <w:p w14:paraId="34E52B85">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1729" w:type="dxa"/>
            <w:vAlign w:val="center"/>
          </w:tcPr>
          <w:p w14:paraId="10C960B3">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2382" w:type="dxa"/>
            <w:vAlign w:val="center"/>
          </w:tcPr>
          <w:p w14:paraId="4E51D3B1">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r>
      <w:tr w14:paraId="77D5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30F6C100">
            <w:pPr>
              <w:jc w:val="cente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084" w:type="dxa"/>
            <w:vAlign w:val="center"/>
          </w:tcPr>
          <w:p w14:paraId="5DBC79CF">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2268" w:type="dxa"/>
            <w:vAlign w:val="center"/>
          </w:tcPr>
          <w:p w14:paraId="607CC501">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1729" w:type="dxa"/>
            <w:vAlign w:val="center"/>
          </w:tcPr>
          <w:p w14:paraId="51485CD7">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2382" w:type="dxa"/>
            <w:vAlign w:val="center"/>
          </w:tcPr>
          <w:p w14:paraId="4B8FD838">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r>
      <w:tr w14:paraId="35CEA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5"/>
            <w:vAlign w:val="center"/>
          </w:tcPr>
          <w:p w14:paraId="0EB8B7B4">
            <w:pPr>
              <w:jc w:val="center"/>
              <w:rPr>
                <w:rFonts w:ascii="Times New Roman" w:hAnsi="Times New Roman" w:cs="Times New Roman"/>
                <w:sz w:val="28"/>
                <w:szCs w:val="28"/>
                <w:lang w:val="uk-UA"/>
              </w:rPr>
            </w:pPr>
            <w:r>
              <w:rPr>
                <w:rFonts w:ascii="Times New Roman" w:hAnsi="Times New Roman" w:cs="Times New Roman"/>
                <w:b/>
                <w:bCs/>
                <w:sz w:val="28"/>
                <w:szCs w:val="28"/>
                <w:lang w:val="uk-UA"/>
              </w:rPr>
              <w:t>Визначення  дериваційного значення слів</w:t>
            </w:r>
          </w:p>
        </w:tc>
      </w:tr>
      <w:tr w14:paraId="728B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24333420">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084" w:type="dxa"/>
            <w:vAlign w:val="center"/>
          </w:tcPr>
          <w:p w14:paraId="28DC539E">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2268" w:type="dxa"/>
            <w:vAlign w:val="center"/>
          </w:tcPr>
          <w:p w14:paraId="740C8DCD">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729" w:type="dxa"/>
            <w:vAlign w:val="center"/>
          </w:tcPr>
          <w:p w14:paraId="6A59781E">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382" w:type="dxa"/>
            <w:vAlign w:val="center"/>
          </w:tcPr>
          <w:p w14:paraId="41F1101A">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14:paraId="3823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42A46EAD">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084" w:type="dxa"/>
            <w:vAlign w:val="center"/>
          </w:tcPr>
          <w:p w14:paraId="65045512">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268" w:type="dxa"/>
            <w:vAlign w:val="center"/>
          </w:tcPr>
          <w:p w14:paraId="24CC7F94">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1729" w:type="dxa"/>
            <w:vAlign w:val="center"/>
          </w:tcPr>
          <w:p w14:paraId="23382169">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2382" w:type="dxa"/>
            <w:vAlign w:val="center"/>
          </w:tcPr>
          <w:p w14:paraId="2C623DC2">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r>
      <w:tr w14:paraId="3A0F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7F409335">
            <w:pPr>
              <w:jc w:val="cente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084" w:type="dxa"/>
            <w:vAlign w:val="center"/>
          </w:tcPr>
          <w:p w14:paraId="6DBCC669">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2268" w:type="dxa"/>
            <w:vAlign w:val="center"/>
          </w:tcPr>
          <w:p w14:paraId="460FB05D">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1729" w:type="dxa"/>
            <w:vAlign w:val="center"/>
          </w:tcPr>
          <w:p w14:paraId="2EC519BF">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2382" w:type="dxa"/>
            <w:vAlign w:val="center"/>
          </w:tcPr>
          <w:p w14:paraId="38037E68">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r>
      <w:tr w14:paraId="182D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5"/>
            <w:vAlign w:val="center"/>
          </w:tcPr>
          <w:p w14:paraId="4B6F79FE">
            <w:pPr>
              <w:jc w:val="center"/>
              <w:rPr>
                <w:rFonts w:ascii="Times New Roman" w:hAnsi="Times New Roman" w:cs="Times New Roman"/>
                <w:sz w:val="28"/>
                <w:szCs w:val="28"/>
                <w:lang w:val="uk-UA"/>
              </w:rPr>
            </w:pPr>
            <w:r>
              <w:rPr>
                <w:rFonts w:ascii="Times New Roman" w:hAnsi="Times New Roman" w:cs="Times New Roman"/>
                <w:b/>
                <w:bCs/>
                <w:sz w:val="28"/>
                <w:szCs w:val="28"/>
                <w:lang w:val="uk-UA"/>
              </w:rPr>
              <w:t>Прогнозування  на лексичному рівні</w:t>
            </w:r>
          </w:p>
        </w:tc>
      </w:tr>
      <w:tr w14:paraId="7FE8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04E060BE">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w:t>
            </w:r>
          </w:p>
        </w:tc>
        <w:tc>
          <w:tcPr>
            <w:tcW w:w="2084" w:type="dxa"/>
            <w:vAlign w:val="center"/>
          </w:tcPr>
          <w:p w14:paraId="4A90AF1E">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268" w:type="dxa"/>
            <w:vAlign w:val="center"/>
          </w:tcPr>
          <w:p w14:paraId="66876A11">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729" w:type="dxa"/>
            <w:vAlign w:val="center"/>
          </w:tcPr>
          <w:p w14:paraId="0C6DD035">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382" w:type="dxa"/>
            <w:vAlign w:val="center"/>
          </w:tcPr>
          <w:p w14:paraId="0A140E31">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r>
      <w:tr w14:paraId="69F8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557BA964">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w:t>
            </w:r>
          </w:p>
        </w:tc>
        <w:tc>
          <w:tcPr>
            <w:tcW w:w="2084" w:type="dxa"/>
            <w:vAlign w:val="center"/>
          </w:tcPr>
          <w:p w14:paraId="43DFB82E">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268" w:type="dxa"/>
            <w:vAlign w:val="center"/>
          </w:tcPr>
          <w:p w14:paraId="2612858E">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729" w:type="dxa"/>
            <w:vAlign w:val="center"/>
          </w:tcPr>
          <w:p w14:paraId="364CA707">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382" w:type="dxa"/>
            <w:vAlign w:val="center"/>
          </w:tcPr>
          <w:p w14:paraId="1792238B">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14:paraId="703F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vAlign w:val="center"/>
          </w:tcPr>
          <w:p w14:paraId="5114A599">
            <w:pPr>
              <w:jc w:val="center"/>
              <w:rPr>
                <w:rFonts w:ascii="Times New Roman" w:hAnsi="Times New Roman" w:cs="Times New Roman"/>
                <w:sz w:val="28"/>
                <w:szCs w:val="28"/>
                <w:lang w:val="uk-UA"/>
              </w:rPr>
            </w:pPr>
            <w:r>
              <w:rPr>
                <w:rFonts w:ascii="Times New Roman" w:hAnsi="Times New Roman" w:cs="Times New Roman"/>
                <w:sz w:val="28"/>
                <w:szCs w:val="28"/>
                <w:lang w:val="uk-UA"/>
              </w:rPr>
              <w:t>Низький</w:t>
            </w:r>
          </w:p>
        </w:tc>
        <w:tc>
          <w:tcPr>
            <w:tcW w:w="2084" w:type="dxa"/>
            <w:vAlign w:val="center"/>
          </w:tcPr>
          <w:p w14:paraId="277F5E1C">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2268" w:type="dxa"/>
            <w:vAlign w:val="center"/>
          </w:tcPr>
          <w:p w14:paraId="7F9C3AFD">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1729" w:type="dxa"/>
            <w:vAlign w:val="center"/>
          </w:tcPr>
          <w:p w14:paraId="2A63BDE4">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2382" w:type="dxa"/>
            <w:vAlign w:val="center"/>
          </w:tcPr>
          <w:p w14:paraId="1D66594E">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bl>
    <w:p w14:paraId="5B395693">
      <w:pPr>
        <w:spacing w:line="360" w:lineRule="auto"/>
        <w:ind w:firstLine="709"/>
        <w:jc w:val="both"/>
        <w:rPr>
          <w:rFonts w:ascii="Times New Roman" w:hAnsi="Times New Roman" w:cs="Times New Roman"/>
          <w:sz w:val="28"/>
          <w:szCs w:val="28"/>
          <w:lang w:val="uk-UA"/>
        </w:rPr>
      </w:pPr>
    </w:p>
    <w:p w14:paraId="2EF5896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Отримані нами результати дослідження вказують на позитивну динаміку змін як серед дошкільнят контрольної групи, так і експериментальної, але серед дітей, які навчалися за запропонованою нами методикою формування лексичного компонента мовлення, заснованої на застосуванні театралізованих дій, засобів та методів, спостерігаються кращі показники. </w:t>
      </w:r>
    </w:p>
    <w:p w14:paraId="64124AA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Перетворення, які відбулись у розвитку лексичного компонента мовлення у досліджуваних контрольної та експериментальної групи, можна побачити на діаграмах 3.1. – 3.4.</w:t>
      </w:r>
    </w:p>
    <w:p w14:paraId="4C5B549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ru-RU" w:eastAsia="ru-RU"/>
        </w:rPr>
        <w:drawing>
          <wp:inline distT="0" distB="0" distL="0" distR="0">
            <wp:extent cx="5886450" cy="3886200"/>
            <wp:effectExtent l="0" t="0" r="0" b="0"/>
            <wp:docPr id="53779098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B8FDAD5">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Рис. 3.1. Динаміка розвитку індивідуальних показників стабілізації слухового сприймання лексичного компонента мовлення у досліджуваних до та після експерименту</w:t>
      </w:r>
    </w:p>
    <w:p w14:paraId="537299E0">
      <w:pPr>
        <w:spacing w:line="360" w:lineRule="auto"/>
        <w:ind w:firstLine="709"/>
        <w:jc w:val="both"/>
        <w:rPr>
          <w:rFonts w:ascii="Times New Roman" w:hAnsi="Times New Roman" w:cs="Times New Roman"/>
          <w:sz w:val="28"/>
          <w:szCs w:val="28"/>
          <w:lang w:val="uk-UA"/>
        </w:rPr>
      </w:pPr>
    </w:p>
    <w:p w14:paraId="3F7D4D6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стабілізації слухового сприймання лексичного компонента мовлення у досліджуваних показало, що в контрольній групі спостерігається незначне покращення показника з 60% низького рівня прояву до експерименту на 40% після експерименту. Ці досліджувані учасники контрольної групи покращили свої показники слухового сприймання лексичного компонента мовлення до середнього рівня. Отримані нами дані особистісного дослідження в контрольній групі вказують на те, що діти стикаються з більшою кількістю проблем у цьому аспекті, що свідчить про необхідність впровадження ефективних методів корекції слухового сприймання, щоб покращити лексичне мовлення дітей у цій групі.</w:t>
      </w:r>
    </w:p>
    <w:p w14:paraId="0B0A6EC7">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sz w:val="28"/>
          <w:szCs w:val="28"/>
          <w:lang w:val="uk-UA"/>
        </w:rPr>
        <w:t xml:space="preserve">У досліджуваних експериментальної групи, до яких було застосовано </w:t>
      </w:r>
      <w:r>
        <w:rPr>
          <w:rFonts w:ascii="Times New Roman" w:hAnsi="Times New Roman" w:cs="Times New Roman"/>
          <w:bCs/>
          <w:sz w:val="28"/>
          <w:szCs w:val="28"/>
          <w:lang w:val="uk-UA"/>
        </w:rPr>
        <w:t>методику формування лексичного компонента мовлення у дітей з мовленнєвими труднощами засобами театралізованої діяльності, спостерігається значно кращий показник, а саме у 30% досліджуваних після експерименту виявлено високий рівень стабілізації слухового сприймання лексичного компонента мовлення, а також зменшення на 20% досліджуваних з низьким рівнем прояву досліджуваного показника. Отримані нами данні підтверджують ефективність запропонованої нами методики.</w:t>
      </w:r>
    </w:p>
    <w:p w14:paraId="1745147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Візуальне представлення індивідуальних показників розпізнавання різних рівнів лексичних узагальнень у досліджуваних контрольної та експериментальної груп після проведення формувального етапу експерименту показані на рисункові 3.2.</w:t>
      </w:r>
    </w:p>
    <w:p w14:paraId="4D26997A">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ru-RU" w:eastAsia="ru-RU"/>
        </w:rPr>
        <w:drawing>
          <wp:inline distT="0" distB="0" distL="0" distR="0">
            <wp:extent cx="6305550" cy="3133725"/>
            <wp:effectExtent l="0" t="0" r="0" b="0"/>
            <wp:docPr id="14614724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763AABD">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Рис. 3.2. Динаміка розвитку індивідуальних показників розпізнавання різних рівнів лексичних узагальнень у досліджуваних до та після експерименту</w:t>
      </w:r>
    </w:p>
    <w:p w14:paraId="28791E6F">
      <w:pPr>
        <w:spacing w:line="360" w:lineRule="auto"/>
        <w:ind w:firstLine="709"/>
        <w:jc w:val="both"/>
        <w:rPr>
          <w:rFonts w:ascii="Times New Roman" w:hAnsi="Times New Roman" w:cs="Times New Roman"/>
          <w:sz w:val="28"/>
          <w:szCs w:val="28"/>
          <w:lang w:val="uk-UA"/>
        </w:rPr>
      </w:pPr>
    </w:p>
    <w:p w14:paraId="38F73E2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 індивідуальних показників розпізнавання різних рівнів лексичних узагальнень у контрольній та експериментальній групах після проведення формувального етапу експерименту свідчить про те, що експериментальна група продемонструвала значні покращення у розумінні та використанні лексичних узагальнень, а саме зменшення кількості досліджуваних з низьким рівнем прояву з 60% до 20%, натомість прояв 30% досліджуваних з високим рівнем розпізнавання різних рівнів лексичних узагальнень. Це підкреслює ефективність застосованих театралізованих дійств, методів та засобів у формуванні лексичних навичок у дітей. У дітей, які входили до контрольної групи, також відмічена позитивна тенденція, а саме зменшення кількості досліджуваних з низьким рівнем прояву з 50% до 30%. Ці діти покращили показник розпізнавання різних рівнів лексичних узагальнень до середнього рівня.</w:t>
      </w:r>
    </w:p>
    <w:p w14:paraId="65E16B6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 змін у динаміці розвитку індивідуальних показників розуміння дериваційного значення слів у досліджуваних до та після експерименту показує значний прогрес у дітей експериментальної групи (рис. 3.3.). </w:t>
      </w:r>
    </w:p>
    <w:p w14:paraId="42315C9E">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ru-RU" w:eastAsia="ru-RU"/>
        </w:rPr>
        <w:drawing>
          <wp:inline distT="0" distB="0" distL="0" distR="0">
            <wp:extent cx="6200775" cy="3095625"/>
            <wp:effectExtent l="0" t="0" r="0" b="0"/>
            <wp:docPr id="42937284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7A6A052">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Рис. 3.3. Динаміка розвитку індивідуальних показників розуміння дериваційного значення слів у досліджуваних до та після експерименту</w:t>
      </w:r>
    </w:p>
    <w:p w14:paraId="20A17464">
      <w:pPr>
        <w:spacing w:line="360" w:lineRule="auto"/>
        <w:ind w:firstLine="709"/>
        <w:jc w:val="both"/>
        <w:rPr>
          <w:rFonts w:ascii="Times New Roman" w:hAnsi="Times New Roman" w:cs="Times New Roman"/>
          <w:sz w:val="28"/>
          <w:szCs w:val="28"/>
          <w:lang w:val="uk-UA"/>
        </w:rPr>
      </w:pPr>
    </w:p>
    <w:p w14:paraId="62DBDF3E">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Результати, отримані нами у досліджуваних експериментальної групи, вказують на значне зменшення дітей з низьким рівнем 60% до експерименту до 10% після експерименту. Також після експерименту в цій групі досліджуваних виявлено 40% дітлахів з високим рівнем прояву досліджуваного показника  розуміння дериваційного значення слів. Отримані нами результати свідчать про покращення у сприйманні та засвоєнні дериваційних значень, що підтверджує ефективність розробленої методики, що відкриває нові можливості для подальшого вдосконалення лексичних навичок у дітей засобами театралізованих дійств.</w:t>
      </w:r>
    </w:p>
    <w:p w14:paraId="29BE1A6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контрольній групі також спостерігається позитивна тенденція до розвитку показника  розуміння дериваційного значення слів, а саме зменшення дітей з 60% на низькому рівні до 30% після експерименту, та збільшення досліджуваних на високому рівні прояву з 10% до експерименту на 20% після проведення дослідження. Але, при цьому, дана динаміка носить не такий прогресивний характер як у дітей експериментальної групи, які займалися за запропонованою нами методикою. Діти контрольної групи мали труднощі при відповідях на певні питання, зазнавали складнощів з називанням деяких назв дитинчат тварин, часом неправильно підбирали антоніми до слів, а також були проблеми з розпізнаванням деяких картинок. Крім того, у них виникали труднощі у виборі прикметників та дієслів.</w:t>
      </w:r>
    </w:p>
    <w:p w14:paraId="284249E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Аналізуючи динаміку змін індивідуальних показників прогнозування на лексичному рівні у досліджуваних до та після формувального експерименту (рис. 3.4.), приходимо до висновку про те, що вона залишилась більш стабільною у порівнянні з розвитком інших компонентів мовлення дітей. </w:t>
      </w:r>
    </w:p>
    <w:p w14:paraId="0DD4861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ru-RU" w:eastAsia="ru-RU"/>
        </w:rPr>
        <w:drawing>
          <wp:inline distT="0" distB="0" distL="0" distR="0">
            <wp:extent cx="6115050" cy="2981325"/>
            <wp:effectExtent l="0" t="0" r="0" b="0"/>
            <wp:docPr id="127063938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14F8D7">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Рис. 3.4. Динаміка розвитку індивідуальних показників прогнозування  на лексичному рівні у досліджуваних до та після експерименту</w:t>
      </w:r>
    </w:p>
    <w:p w14:paraId="04F360F6">
      <w:pPr>
        <w:spacing w:line="360" w:lineRule="auto"/>
        <w:ind w:firstLine="709"/>
        <w:jc w:val="both"/>
        <w:rPr>
          <w:rFonts w:ascii="Times New Roman" w:hAnsi="Times New Roman" w:cs="Times New Roman"/>
          <w:sz w:val="28"/>
          <w:szCs w:val="28"/>
          <w:lang w:val="uk-UA"/>
        </w:rPr>
      </w:pPr>
    </w:p>
    <w:p w14:paraId="3CF25AE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Позитивні зміни відмічаються у 10% досліджуваних в контрольній та 20% в експериментальній групах, так як у них виявлено високий рівень прояву даного показника. Також до позитивної динаміки можна віднести зменшення низького рівня у 70% досліджуваних на початку формувального експерименту до 40% осіб після його завершення.</w:t>
      </w:r>
    </w:p>
    <w:p w14:paraId="749885C0">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Отримані результати свідчать про те, що всі досліджувані, які працювали за пропонованою мнтодикою, демонструють позитивну динаміку покращення індивідуальних показників лексичного компонента мовлення. Це свідчить про ефективність розробленої методики формування лексичних навичок засобами театралізованого дійства, що є важливим аспектом мовленнєвого розвитку дітей. Зокрема, методика, що була впроваджена, враховувала специфіку та індивідуальні потреби дітей, що дозволило створити оптимальні умови для засвоєння нових лексичних одиниць та їх активного використання. Позитивні зміни в показниках свідчать про зростання словникового запасу, покращення розуміння значень слів і підвищення здатності до їх використання в різних контекстах.</w:t>
      </w:r>
    </w:p>
    <w:p w14:paraId="7E3B7A04">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результати дослідження підтверджують важливість систематичної роботи над лексичним компонентом мовлення, що сприяє не тільки розвитку комунікативних навичок, але й загальному мовленнєвому розвитку дітей. Це відкриває нові перспективи для подальших досліджень і вдосконалення методик, спрямованих на корекцію мовленнєвих порушень у дітей.</w:t>
      </w:r>
    </w:p>
    <w:p w14:paraId="1C08BC5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Лексична складова мовлення у дітей з мовленнєвими труднощами також оцінювалась за методикою діагностики мовленнєвого розвитку І. Брушневської. Процес оцінки рівня розвитку лексичної складової мовлення включав виявлення слів у словниковому запасі, що позначають предмети, дії, діяльність людей, ознаки предметів, а також узагальнюючі терміни, синоніми, антоніми та пароніми. Далі розглянемо особливості формування різних складових лексичного запасу.</w:t>
      </w:r>
    </w:p>
    <w:p w14:paraId="68F8704D">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Кількісний аналіз результатів діагностики словникового запасу, включаючи іменники, дієслова та прикметники, показав такі результати:</w:t>
      </w:r>
    </w:p>
    <w:p w14:paraId="496B8B41">
      <w:pPr>
        <w:pStyle w:val="14"/>
        <w:numPr>
          <w:ilvl w:val="1"/>
          <w:numId w:val="11"/>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У контрольній групі рівень показників залишився стабільним.</w:t>
      </w:r>
    </w:p>
    <w:p w14:paraId="2B8D7248">
      <w:pPr>
        <w:pStyle w:val="14"/>
        <w:numPr>
          <w:ilvl w:val="1"/>
          <w:numId w:val="11"/>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У експериментальній групі всі діти досягли середнього рівня в наявності слів-назв предметів.</w:t>
      </w:r>
    </w:p>
    <w:p w14:paraId="0788886A">
      <w:pPr>
        <w:pStyle w:val="14"/>
        <w:numPr>
          <w:ilvl w:val="1"/>
          <w:numId w:val="11"/>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Для слів, що позначають дії предметів та діяльність людей, у 5 досліджуваних експериментальної групи спостерігається середній рівень, у 4 – високий, а у 1 дитини виявлено низький рівень.</w:t>
      </w:r>
    </w:p>
    <w:p w14:paraId="34155361">
      <w:pPr>
        <w:pStyle w:val="14"/>
        <w:numPr>
          <w:ilvl w:val="1"/>
          <w:numId w:val="11"/>
        </w:numPr>
        <w:spacing w:line="360"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Щодо слів, які описують ознаки предметів, у 8 досліджуваних експериментальної групи рівень виявився середнім, а у 2 дітей на високому рівні.</w:t>
      </w:r>
    </w:p>
    <w:p w14:paraId="18228EF2">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Підсумовуючи результати експериментальної частини дослідження, слід відзначити, що цілеспрямоване використання засобів театралізованої діяльності ефективно сприяє розвитку лексичного компонента мовлення у старших дошкільників з мовленнєвими освітніми труднощами. Позитивні зміни, які спостерігаються після реалізації методики, підтверджують її ефективність у розвитку мовлення дітей старшого дошкільного віку з мовленнєвими труднощами. </w:t>
      </w:r>
    </w:p>
    <w:p w14:paraId="5BA42408">
      <w:pPr>
        <w:spacing w:line="360" w:lineRule="auto"/>
        <w:ind w:firstLine="709"/>
        <w:jc w:val="both"/>
        <w:rPr>
          <w:rFonts w:ascii="Times New Roman" w:hAnsi="Times New Roman" w:cs="Times New Roman"/>
          <w:sz w:val="28"/>
          <w:szCs w:val="28"/>
          <w:lang w:val="uk-UA"/>
        </w:rPr>
      </w:pPr>
    </w:p>
    <w:p w14:paraId="446063CE">
      <w:pPr>
        <w:spacing w:line="36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Висновки до третього розділу</w:t>
      </w:r>
    </w:p>
    <w:p w14:paraId="434C5B40">
      <w:pPr>
        <w:spacing w:line="360" w:lineRule="auto"/>
        <w:ind w:firstLine="709"/>
        <w:jc w:val="both"/>
        <w:rPr>
          <w:rFonts w:ascii="Times New Roman" w:hAnsi="Times New Roman" w:cs="Times New Roman"/>
          <w:sz w:val="28"/>
          <w:szCs w:val="28"/>
          <w:lang w:val="uk-UA"/>
        </w:rPr>
      </w:pPr>
    </w:p>
    <w:p w14:paraId="62397E4C">
      <w:pPr>
        <w:spacing w:line="360" w:lineRule="auto"/>
        <w:ind w:firstLine="709"/>
        <w:jc w:val="both"/>
        <w:rPr>
          <w:lang w:val="ru-RU"/>
        </w:rPr>
      </w:pPr>
      <w:r>
        <w:rPr>
          <w:rFonts w:ascii="Times New Roman" w:hAnsi="Times New Roman" w:cs="Times New Roman"/>
          <w:sz w:val="28"/>
          <w:szCs w:val="28"/>
          <w:lang w:val="uk-UA"/>
        </w:rPr>
        <w:t xml:space="preserve">Було запропоновано методику, яка включала 15 занять з розвитку лексичного компонента мовлення для старших дошкільнят з мовленнєвими труднощами. </w:t>
      </w:r>
      <w:r>
        <w:rPr>
          <w:rFonts w:ascii="Times New Roman" w:hAnsi="Times New Roman" w:cs="Times New Roman"/>
          <w:bCs/>
          <w:sz w:val="28"/>
          <w:szCs w:val="28"/>
          <w:lang w:val="uk-UA"/>
        </w:rPr>
        <w:t>Перший етап методики, вхідний, тривав три місяці і здійснювався з дітьми під час занять з художньої літератури, розвитку мовлення, а також у процесі самостійної ігрової діяльності протягом дня, а також під час свят та розваг. Головною метою цього етапу було формування лексичного компонента мовлення дітей. На другому етапі роботи були впроваджені дві педагогічні умови: використання емоційно-експресивних, наочно-дієвих і мовних засобів взаємодії в театрально-ігровій діяльності, а також інтеграція різних форм художньо-мовленнєвої діяльності дітей. Основна мета другого етапу впровадження методики формування лексичного компонента мовлення у дітей з мовленнєвими труднощами полягала у створенні та оформленні дітьми мінівистав за казками. Метою третього етапу була активізація, уточнення та збагачення словникового запасу дітей. Методика роботи на цьому етапі передбачала стимулювання дітей до самостійної творчої діяльності.</w:t>
      </w:r>
    </w:p>
    <w:p w14:paraId="33A5879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Мета контрольного експерименту полягала у визначенні ефективності цієї методики для розвитку мовлення у дітей з мовленнєвими труднощами. Для оцінки результатів використовувалися ті ж методики дослідження розвитку мовлення, що були обрані на констатувальному етапі експерименту.</w:t>
      </w:r>
    </w:p>
    <w:p w14:paraId="60C42C9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отриманими результатами контрольного етапу дослідження можна констатувати, що запропонована методика формування лексичного компонента мовлення у дітей дошкільного віку з мовленнєвими труднощами довела свою ефективність. Узагальнюючи результати експериментального дослідження, можна зазначити, що систематичне використання театралізованих та мистецьких засобів терапії сприяє успішному розвитку мовлення у старших дошкільників з мовленнєвими труднощами.</w:t>
      </w:r>
      <w:r>
        <w:rPr>
          <w:rFonts w:ascii="Times New Roman" w:hAnsi="Times New Roman" w:cs="Times New Roman"/>
          <w:b/>
          <w:bCs/>
          <w:sz w:val="28"/>
          <w:szCs w:val="28"/>
          <w:lang w:val="uk-UA"/>
        </w:rPr>
        <w:br w:type="page"/>
      </w:r>
    </w:p>
    <w:p w14:paraId="6C278F7B">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ВИСНОВКИ</w:t>
      </w:r>
    </w:p>
    <w:p w14:paraId="78118449">
      <w:pPr>
        <w:spacing w:line="360" w:lineRule="auto"/>
        <w:ind w:firstLine="709"/>
        <w:jc w:val="both"/>
        <w:rPr>
          <w:rFonts w:ascii="Times New Roman" w:hAnsi="Times New Roman" w:cs="Times New Roman"/>
          <w:sz w:val="28"/>
          <w:szCs w:val="28"/>
          <w:lang w:val="uk-UA"/>
        </w:rPr>
      </w:pPr>
    </w:p>
    <w:p w14:paraId="08419BE9">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Проведене дослідження дозволило встановити, що словниковий склад мовлення дитини має вирішальне значення для її комунікації з навколишнім середовищем. Саме через слова дитина виражає свої думки, почуття та потреби. Проте у дітей із мовленнєвими освітніми труднощами цей процес може бути ускладнений. Виявлено, що розвиток словникового складу мовлення у дітей проходить декілька етапів, від перших спроб вживання слів до формування значного словника. Для дітей із мовленнєвими труднощами цей процес може бути більш тривалим та складним. Очевидною є необхідність врахування специфіки мовленнєвого розвитку у дітей із мовленнєвими порушеннями. Вони можуть мати обмежений словник або виявляти труднощі в коректному вживанні слів. Тому для ефективного формування словникового складу у таких дітей важливо застосовувати індивідуальний підхід та спеціальні методи корекції.</w:t>
      </w:r>
    </w:p>
    <w:p w14:paraId="6C9BDFF1">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Лексичний компонент мовлення у осіб дошкільного віку з мовленнєвими труднощами виокремлюється особливою складністю та специфічними характеристиками. Теоретичний аналіз показує, що формування лексичного компонента у таких дітей може відбуватися повільніше, ніж у їх здорових ровесників, через різноманітні фонетико-фонематичні, лексичні та синтаксичні труднощі. Розуміння цих особливостей дає змогу у відповідний спосіб організувати роботу із розвитку лексичного компонента мовлення дітей з мовленнєвими порушеннями у закладі дошкільної освіти.</w:t>
      </w:r>
    </w:p>
    <w:p w14:paraId="48496DA4">
      <w:pPr>
        <w:spacing w:line="360" w:lineRule="auto"/>
        <w:ind w:firstLine="709"/>
        <w:jc w:val="both"/>
        <w:rPr>
          <w:lang w:val="ru-RU"/>
        </w:rPr>
      </w:pPr>
      <w:r>
        <w:rPr>
          <w:rFonts w:ascii="Times New Roman" w:hAnsi="Times New Roman" w:cs="Times New Roman"/>
          <w:bCs/>
          <w:sz w:val="28"/>
          <w:szCs w:val="28"/>
          <w:lang w:val="ru-RU"/>
        </w:rPr>
        <w:t>2. Е</w:t>
      </w:r>
      <w:r>
        <w:rPr>
          <w:rFonts w:ascii="Times New Roman" w:hAnsi="Times New Roman" w:cs="Times New Roman"/>
          <w:bCs/>
          <w:sz w:val="28"/>
          <w:szCs w:val="28"/>
          <w:lang w:val="uk-UA"/>
        </w:rPr>
        <w:t xml:space="preserve">мпіричним шляхом встановлено стан сформованості лексичного компонента мовлення у осіб дошкільного віку з мовленнєвими труднощами. </w:t>
      </w:r>
      <w:r>
        <w:rPr>
          <w:rFonts w:ascii="Times New Roman" w:hAnsi="Times New Roman" w:cs="Times New Roman"/>
          <w:sz w:val="28"/>
          <w:szCs w:val="28"/>
          <w:lang w:val="uk-UA"/>
        </w:rPr>
        <w:t xml:space="preserve">Аналізуючи отримані показники, приходимо до висновку, що 70% досліджуваних осіб у  контрольній групі та у 40% досліджуваних в експериментальній групі мають середній рівень розвитку лексичної складової мовлення. У 60% досліджуваних експериментальної групи та у 30% дітей контрольної групи виявлено низький рівень розвитку лексичного компонента мовлення. Дітей з високим рівнем розвитку лексичного компонента на початку дослідження не було виявлено а ні в експериментальній, а ні в контрольній групі. </w:t>
      </w:r>
    </w:p>
    <w:p w14:paraId="6F794A13">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Отримані на початку дослідження дані за методикою діагностики мовленнєвого розвитку І. Брушневської свідчать, що у дітей із мовленнєвими труднощами як кількісні, так і якісні показники активного словникового запасу не відповідають віковим нормам. Усі діти з експериментальної та контрольної груп виконали завдання на низькому рівні.</w:t>
      </w:r>
    </w:p>
    <w:p w14:paraId="495DF3F6">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3. У представленому дослідженні обґрунтовано доцільність застосування методики формування лексичного компонента мовлення у дітей з мовленнєвими труднощами засобами театралізованої діяльності. Показано, що цей підхід є дієвим і ефективним у поліпшенні комунікативних навичок у дітей. Такий метод дає змогу дітям не лише розвивати свій лексичний запас, але й вчити їх використовувати здобуті знання в практичних ситуаціях, що сприяє їх загальному розвитку та покращує їх можливості взаємодії з іншими. Запропонована методика розвитку лексичного компонента мовлення складається із 3 етапів та відтворюється на 15 заняттях та може бути впроваджена під час проведення логопедичних занять з дітьми 5-6 років. </w:t>
      </w:r>
    </w:p>
    <w:p w14:paraId="10B0D84E">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Представлена у дослідженні методика спирається на застосуванні засобів театралізованого та мистецького дійства. Використання театралізованих методів є важливим для розвитку лексичного компонента мовлення у осіб дошкільного віку з мовленнєвими труднощами. Проведення театральних ігор, постановок, музично-драматичних вправ, лялькового театру та казкотерапії сприяє розширенню словникового запасу, покращенню мовленнєвих навичок і подоланню мовленнєвих труднощів у дітей. Включення цих методів у навчальний процес розвиває мовлення ефективно та сприяє всебічному розвитку дітей.</w:t>
      </w:r>
    </w:p>
    <w:p w14:paraId="48AFA857">
      <w:pPr>
        <w:spacing w:line="360" w:lineRule="auto"/>
        <w:ind w:firstLine="709"/>
        <w:jc w:val="both"/>
        <w:rPr>
          <w:lang w:val="ru-RU"/>
        </w:rPr>
      </w:pPr>
      <w:r>
        <w:rPr>
          <w:rFonts w:ascii="Times New Roman" w:hAnsi="Times New Roman" w:cs="Times New Roman"/>
          <w:bCs/>
          <w:sz w:val="28"/>
          <w:szCs w:val="28"/>
          <w:lang w:val="uk-UA"/>
        </w:rPr>
        <w:t xml:space="preserve">4. В результаті проведеного дослідження експериментальним шляхом доведено ефективність впровадження програми формування лексичного компонента мовлення у дітей з мовленнєвими труднощами. </w:t>
      </w:r>
      <w:r>
        <w:rPr>
          <w:rFonts w:ascii="Times New Roman" w:hAnsi="Times New Roman" w:cs="Times New Roman"/>
          <w:sz w:val="28"/>
          <w:szCs w:val="28"/>
          <w:lang w:val="uk-UA"/>
        </w:rPr>
        <w:t xml:space="preserve">Результати дослідження вказують на те, що в контрольній групі рівень сформованості лексичного компонента мовлення дітей залишився стабільним. Натомість, в експериментальній групі всі діти досягли середнього рівня розвитку. У всіх досліджуваних експериментальної групи, які працювали за пропонованою методикою, спостерігається позитивна динаміка покращення індивідуальних показників лексичного компонента мовлення. Результати контрольного зрізу вказують на те, що в контрольній групі рівень сформованості лексичного компоненту мовлення залишився стабільним. В експериментальній групі 9 із 10 дітей досягли середнього рівня, а у 1дитини залишився низький рівень. </w:t>
      </w:r>
    </w:p>
    <w:p w14:paraId="300EAF4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 результати проведеного дослідження вказують на те, що використання засобів театралізованої діяльності ефективно сприяє розвитку мовлення у старших дошкільників, які мають мовленнєві освітні труднощі.</w:t>
      </w:r>
    </w:p>
    <w:p w14:paraId="46813157">
      <w:pPr>
        <w:spacing w:line="360" w:lineRule="auto"/>
        <w:ind w:firstLine="709"/>
        <w:jc w:val="both"/>
        <w:rPr>
          <w:rFonts w:ascii="Times New Roman" w:hAnsi="Times New Roman" w:cs="Times New Roman"/>
          <w:bCs/>
          <w:sz w:val="28"/>
          <w:szCs w:val="28"/>
          <w:lang w:val="uk-UA"/>
        </w:rPr>
      </w:pPr>
    </w:p>
    <w:p w14:paraId="2239349F">
      <w:pPr>
        <w:spacing w:line="360" w:lineRule="auto"/>
        <w:ind w:firstLine="709"/>
        <w:jc w:val="both"/>
        <w:rPr>
          <w:rFonts w:ascii="Times New Roman" w:hAnsi="Times New Roman" w:cs="Times New Roman"/>
          <w:bCs/>
          <w:sz w:val="28"/>
          <w:szCs w:val="28"/>
          <w:lang w:val="uk-UA"/>
        </w:rPr>
      </w:pPr>
    </w:p>
    <w:p w14:paraId="7C4A18CA">
      <w:pPr>
        <w:rPr>
          <w:rFonts w:ascii="Times New Roman" w:hAnsi="Times New Roman" w:cs="Times New Roman"/>
          <w:sz w:val="28"/>
          <w:szCs w:val="28"/>
          <w:lang w:val="uk-UA"/>
        </w:rPr>
      </w:pPr>
    </w:p>
    <w:p w14:paraId="0DCBD949">
      <w:pPr>
        <w:rPr>
          <w:rFonts w:ascii="Times New Roman" w:hAnsi="Times New Roman" w:cs="Times New Roman"/>
          <w:sz w:val="28"/>
          <w:szCs w:val="28"/>
          <w:lang w:val="uk-UA"/>
        </w:rPr>
      </w:pPr>
    </w:p>
    <w:p w14:paraId="415A23E6">
      <w:pPr>
        <w:rPr>
          <w:rFonts w:ascii="Times New Roman" w:hAnsi="Times New Roman" w:cs="Times New Roman"/>
          <w:sz w:val="28"/>
          <w:szCs w:val="28"/>
          <w:lang w:val="uk-UA"/>
        </w:rPr>
      </w:pPr>
    </w:p>
    <w:p w14:paraId="66339B2F">
      <w:pPr>
        <w:rPr>
          <w:rFonts w:ascii="Times New Roman" w:hAnsi="Times New Roman" w:cs="Times New Roman"/>
          <w:sz w:val="28"/>
          <w:szCs w:val="28"/>
          <w:lang w:val="uk-UA"/>
        </w:rPr>
      </w:pPr>
    </w:p>
    <w:p w14:paraId="51273615">
      <w:pPr>
        <w:rPr>
          <w:rFonts w:ascii="Times New Roman" w:hAnsi="Times New Roman" w:cs="Times New Roman"/>
          <w:sz w:val="28"/>
          <w:szCs w:val="28"/>
          <w:lang w:val="uk-UA"/>
        </w:rPr>
      </w:pPr>
    </w:p>
    <w:p w14:paraId="420CFCA8">
      <w:pPr>
        <w:rPr>
          <w:rFonts w:ascii="Times New Roman" w:hAnsi="Times New Roman" w:cs="Times New Roman"/>
          <w:sz w:val="28"/>
          <w:szCs w:val="28"/>
          <w:lang w:val="uk-UA"/>
        </w:rPr>
      </w:pPr>
    </w:p>
    <w:p w14:paraId="50FC4A1D">
      <w:pPr>
        <w:rPr>
          <w:rFonts w:ascii="Times New Roman" w:hAnsi="Times New Roman" w:cs="Times New Roman"/>
          <w:sz w:val="28"/>
          <w:szCs w:val="28"/>
          <w:lang w:val="uk-UA"/>
        </w:rPr>
      </w:pPr>
    </w:p>
    <w:p w14:paraId="6658C847">
      <w:pPr>
        <w:rPr>
          <w:rFonts w:ascii="Times New Roman" w:hAnsi="Times New Roman" w:cs="Times New Roman"/>
          <w:sz w:val="28"/>
          <w:szCs w:val="28"/>
          <w:lang w:val="uk-UA"/>
        </w:rPr>
      </w:pPr>
    </w:p>
    <w:p w14:paraId="5E61AE69">
      <w:pPr>
        <w:rPr>
          <w:rFonts w:ascii="Times New Roman" w:hAnsi="Times New Roman" w:cs="Times New Roman"/>
          <w:sz w:val="28"/>
          <w:szCs w:val="28"/>
          <w:lang w:val="uk-UA"/>
        </w:rPr>
      </w:pPr>
    </w:p>
    <w:p w14:paraId="59C902A7">
      <w:pPr>
        <w:rPr>
          <w:rFonts w:ascii="Times New Roman" w:hAnsi="Times New Roman" w:cs="Times New Roman"/>
          <w:sz w:val="28"/>
          <w:szCs w:val="28"/>
          <w:lang w:val="uk-UA"/>
        </w:rPr>
      </w:pPr>
    </w:p>
    <w:p w14:paraId="48BA5A15">
      <w:pPr>
        <w:rPr>
          <w:rFonts w:ascii="Times New Roman" w:hAnsi="Times New Roman" w:cs="Times New Roman"/>
          <w:sz w:val="28"/>
          <w:szCs w:val="28"/>
          <w:lang w:val="uk-UA"/>
        </w:rPr>
      </w:pPr>
    </w:p>
    <w:p w14:paraId="64DEFB4C">
      <w:pPr>
        <w:rPr>
          <w:rFonts w:ascii="Times New Roman" w:hAnsi="Times New Roman" w:cs="Times New Roman"/>
          <w:sz w:val="28"/>
          <w:szCs w:val="28"/>
          <w:lang w:val="uk-UA"/>
        </w:rPr>
      </w:pPr>
    </w:p>
    <w:p w14:paraId="687F12C4">
      <w:pPr>
        <w:rPr>
          <w:rFonts w:ascii="Times New Roman" w:hAnsi="Times New Roman" w:cs="Times New Roman"/>
          <w:sz w:val="28"/>
          <w:szCs w:val="28"/>
          <w:lang w:val="uk-UA"/>
        </w:rPr>
      </w:pPr>
    </w:p>
    <w:p w14:paraId="7F9793F7">
      <w:pPr>
        <w:rPr>
          <w:rFonts w:ascii="Times New Roman" w:hAnsi="Times New Roman" w:cs="Times New Roman"/>
          <w:sz w:val="28"/>
          <w:szCs w:val="28"/>
          <w:lang w:val="uk-UA"/>
        </w:rPr>
      </w:pPr>
    </w:p>
    <w:p w14:paraId="786774C5">
      <w:pPr>
        <w:rPr>
          <w:rFonts w:ascii="Times New Roman" w:hAnsi="Times New Roman" w:cs="Times New Roman"/>
          <w:sz w:val="28"/>
          <w:szCs w:val="28"/>
          <w:lang w:val="uk-UA"/>
        </w:rPr>
      </w:pPr>
    </w:p>
    <w:p w14:paraId="286F8D83">
      <w:pPr>
        <w:rPr>
          <w:rFonts w:ascii="Times New Roman" w:hAnsi="Times New Roman" w:cs="Times New Roman"/>
          <w:sz w:val="28"/>
          <w:szCs w:val="28"/>
          <w:lang w:val="uk-UA"/>
        </w:rPr>
      </w:pPr>
    </w:p>
    <w:p w14:paraId="1FC6528C">
      <w:pPr>
        <w:rPr>
          <w:rFonts w:ascii="Times New Roman" w:hAnsi="Times New Roman" w:cs="Times New Roman"/>
          <w:sz w:val="28"/>
          <w:szCs w:val="28"/>
          <w:lang w:val="uk-UA"/>
        </w:rPr>
      </w:pPr>
    </w:p>
    <w:p w14:paraId="46DB8113">
      <w:pPr>
        <w:rPr>
          <w:rFonts w:ascii="Times New Roman" w:hAnsi="Times New Roman" w:cs="Times New Roman"/>
          <w:sz w:val="28"/>
          <w:szCs w:val="28"/>
          <w:lang w:val="uk-UA"/>
        </w:rPr>
      </w:pPr>
    </w:p>
    <w:p w14:paraId="28414584">
      <w:pPr>
        <w:rPr>
          <w:rFonts w:ascii="Times New Roman" w:hAnsi="Times New Roman" w:cs="Times New Roman"/>
          <w:sz w:val="28"/>
          <w:szCs w:val="28"/>
          <w:lang w:val="uk-UA"/>
        </w:rPr>
      </w:pPr>
    </w:p>
    <w:p w14:paraId="41E3F8E7">
      <w:pPr>
        <w:rPr>
          <w:rFonts w:ascii="Times New Roman" w:hAnsi="Times New Roman" w:cs="Times New Roman"/>
          <w:sz w:val="28"/>
          <w:szCs w:val="28"/>
          <w:lang w:val="uk-UA"/>
        </w:rPr>
      </w:pPr>
    </w:p>
    <w:p w14:paraId="37812D38">
      <w:pPr>
        <w:rPr>
          <w:rFonts w:ascii="Times New Roman" w:hAnsi="Times New Roman" w:cs="Times New Roman"/>
          <w:sz w:val="28"/>
          <w:szCs w:val="28"/>
          <w:lang w:val="uk-UA"/>
        </w:rPr>
      </w:pPr>
    </w:p>
    <w:p w14:paraId="42EC92DD">
      <w:pPr>
        <w:rPr>
          <w:rFonts w:ascii="Times New Roman" w:hAnsi="Times New Roman" w:cs="Times New Roman"/>
          <w:sz w:val="28"/>
          <w:szCs w:val="28"/>
          <w:lang w:val="uk-UA"/>
        </w:rPr>
      </w:pPr>
    </w:p>
    <w:p w14:paraId="049BF72A">
      <w:pPr>
        <w:rPr>
          <w:rFonts w:ascii="Times New Roman" w:hAnsi="Times New Roman" w:cs="Times New Roman"/>
          <w:sz w:val="28"/>
          <w:szCs w:val="28"/>
          <w:lang w:val="uk-UA"/>
        </w:rPr>
      </w:pPr>
    </w:p>
    <w:p w14:paraId="794C860C">
      <w:pPr>
        <w:rPr>
          <w:rFonts w:ascii="Times New Roman" w:hAnsi="Times New Roman" w:cs="Times New Roman"/>
          <w:sz w:val="28"/>
          <w:szCs w:val="28"/>
          <w:lang w:val="uk-UA"/>
        </w:rPr>
      </w:pPr>
    </w:p>
    <w:p w14:paraId="744B838C">
      <w:pPr>
        <w:spacing w:line="360" w:lineRule="auto"/>
        <w:ind w:firstLine="709"/>
        <w:jc w:val="both"/>
        <w:rPr>
          <w:rFonts w:ascii="Times New Roman" w:hAnsi="Times New Roman" w:cs="Times New Roman"/>
          <w:sz w:val="28"/>
          <w:szCs w:val="28"/>
          <w:lang w:val="uk-UA"/>
        </w:rPr>
      </w:pPr>
      <w:bookmarkStart w:id="4" w:name="_GoBack"/>
      <w:bookmarkEnd w:id="4"/>
    </w:p>
    <w:p w14:paraId="3A3F019A">
      <w:pPr>
        <w:spacing w:line="360" w:lineRule="auto"/>
        <w:ind w:firstLine="709"/>
        <w:jc w:val="both"/>
        <w:rPr>
          <w:rFonts w:ascii="Times New Roman" w:hAnsi="Times New Roman" w:cs="Times New Roman"/>
          <w:sz w:val="28"/>
          <w:szCs w:val="28"/>
          <w:lang w:val="uk-UA"/>
        </w:rPr>
      </w:pPr>
    </w:p>
    <w:p w14:paraId="21F17A31">
      <w:pPr>
        <w:spacing w:line="360" w:lineRule="auto"/>
        <w:ind w:firstLine="709"/>
        <w:jc w:val="both"/>
        <w:rPr>
          <w:rFonts w:ascii="Times New Roman" w:hAnsi="Times New Roman" w:cs="Times New Roman"/>
          <w:sz w:val="28"/>
          <w:szCs w:val="28"/>
          <w:lang w:val="uk-UA"/>
        </w:rPr>
      </w:pPr>
    </w:p>
    <w:p w14:paraId="61896818">
      <w:pPr>
        <w:spacing w:line="360" w:lineRule="auto"/>
        <w:ind w:firstLine="709"/>
        <w:jc w:val="both"/>
        <w:rPr>
          <w:rFonts w:ascii="Times New Roman" w:hAnsi="Times New Roman" w:cs="Times New Roman"/>
          <w:sz w:val="28"/>
          <w:szCs w:val="28"/>
          <w:lang w:val="uk-UA"/>
        </w:rPr>
      </w:pPr>
    </w:p>
    <w:sectPr>
      <w:headerReference r:id="rId3" w:type="default"/>
      <w:pgSz w:w="11906" w:h="16838"/>
      <w:pgMar w:top="1134" w:right="851" w:bottom="1134" w:left="1418"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0679816"/>
    </w:sdtPr>
    <w:sdtContent>
      <w:p w14:paraId="364CC0B0">
        <w:pPr>
          <w:pStyle w:val="10"/>
          <w:jc w:val="right"/>
        </w:pPr>
        <w:r>
          <w:fldChar w:fldCharType="begin"/>
        </w:r>
        <w:r>
          <w:instrText xml:space="preserve">PAGE   \* MERGEFORMAT</w:instrText>
        </w:r>
        <w:r>
          <w:fldChar w:fldCharType="separate"/>
        </w:r>
        <w:r>
          <w:rPr>
            <w:lang w:val="ru-RU"/>
          </w:rPr>
          <w:t>101</w:t>
        </w:r>
        <w:r>
          <w:fldChar w:fldCharType="end"/>
        </w:r>
      </w:p>
    </w:sdtContent>
  </w:sdt>
  <w:p w14:paraId="30A09AED">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46FDB"/>
    <w:multiLevelType w:val="multilevel"/>
    <w:tmpl w:val="03046FDB"/>
    <w:lvl w:ilvl="0" w:tentative="0">
      <w:start w:val="1"/>
      <w:numFmt w:val="bullet"/>
      <w:lvlText w:val=""/>
      <w:lvlJc w:val="left"/>
      <w:pPr>
        <w:ind w:left="1429" w:hanging="360"/>
      </w:pPr>
      <w:rPr>
        <w:rFonts w:hint="default" w:ascii="Symbol" w:hAnsi="Symbol"/>
      </w:rPr>
    </w:lvl>
    <w:lvl w:ilvl="1" w:tentative="0">
      <w:start w:val="1"/>
      <w:numFmt w:val="bullet"/>
      <w:lvlText w:val=""/>
      <w:lvlJc w:val="left"/>
      <w:pPr>
        <w:ind w:left="2149" w:hanging="360"/>
      </w:pPr>
      <w:rPr>
        <w:rFonts w:hint="default" w:ascii="Symbol" w:hAnsi="Symbol"/>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
    <w:nsid w:val="12AF6EF4"/>
    <w:multiLevelType w:val="multilevel"/>
    <w:tmpl w:val="12AF6EF4"/>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2">
    <w:nsid w:val="14053E3A"/>
    <w:multiLevelType w:val="multilevel"/>
    <w:tmpl w:val="14053E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96457E5"/>
    <w:multiLevelType w:val="multilevel"/>
    <w:tmpl w:val="196457E5"/>
    <w:lvl w:ilvl="0" w:tentative="0">
      <w:start w:val="1"/>
      <w:numFmt w:val="bullet"/>
      <w:lvlText w:val=""/>
      <w:lvlJc w:val="left"/>
      <w:pPr>
        <w:ind w:left="1429" w:hanging="360"/>
      </w:pPr>
      <w:rPr>
        <w:rFonts w:hint="default" w:ascii="Symbol" w:hAnsi="Symbol"/>
      </w:rPr>
    </w:lvl>
    <w:lvl w:ilvl="1" w:tentative="0">
      <w:start w:val="0"/>
      <w:numFmt w:val="bullet"/>
      <w:lvlText w:val="-"/>
      <w:lvlJc w:val="left"/>
      <w:pPr>
        <w:ind w:left="2149" w:hanging="360"/>
      </w:pPr>
      <w:rPr>
        <w:rFonts w:hint="default" w:ascii="Times New Roman" w:hAnsi="Times New Roman" w:cs="Times New Roman" w:eastAsiaTheme="minorEastAsia"/>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4">
    <w:nsid w:val="27FF174C"/>
    <w:multiLevelType w:val="multilevel"/>
    <w:tmpl w:val="27FF174C"/>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5">
    <w:nsid w:val="390117F9"/>
    <w:multiLevelType w:val="multilevel"/>
    <w:tmpl w:val="390117F9"/>
    <w:lvl w:ilvl="0" w:tentative="0">
      <w:start w:val="1"/>
      <w:numFmt w:val="bullet"/>
      <w:lvlText w:val=""/>
      <w:lvlJc w:val="left"/>
      <w:pPr>
        <w:ind w:left="1429" w:hanging="360"/>
      </w:pPr>
      <w:rPr>
        <w:rFonts w:hint="default" w:ascii="Symbol" w:hAnsi="Symbol"/>
      </w:rPr>
    </w:lvl>
    <w:lvl w:ilvl="1" w:tentative="0">
      <w:start w:val="1"/>
      <w:numFmt w:val="bullet"/>
      <w:lvlText w:val=""/>
      <w:lvlJc w:val="left"/>
      <w:pPr>
        <w:ind w:left="2149" w:hanging="360"/>
      </w:pPr>
      <w:rPr>
        <w:rFonts w:hint="default" w:ascii="Symbol" w:hAnsi="Symbol"/>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6">
    <w:nsid w:val="4C687D41"/>
    <w:multiLevelType w:val="multilevel"/>
    <w:tmpl w:val="4C687D41"/>
    <w:lvl w:ilvl="0" w:tentative="0">
      <w:start w:val="1"/>
      <w:numFmt w:val="bullet"/>
      <w:lvlText w:val=""/>
      <w:lvlJc w:val="left"/>
      <w:pPr>
        <w:ind w:left="1429" w:hanging="360"/>
      </w:pPr>
      <w:rPr>
        <w:rFonts w:hint="default" w:ascii="Symbol" w:hAnsi="Symbol"/>
      </w:rPr>
    </w:lvl>
    <w:lvl w:ilvl="1" w:tentative="0">
      <w:start w:val="1"/>
      <w:numFmt w:val="bullet"/>
      <w:lvlText w:val=""/>
      <w:lvlJc w:val="left"/>
      <w:pPr>
        <w:ind w:left="2149" w:hanging="360"/>
      </w:pPr>
      <w:rPr>
        <w:rFonts w:hint="default" w:ascii="Symbol" w:hAnsi="Symbol"/>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7">
    <w:nsid w:val="61E26B7D"/>
    <w:multiLevelType w:val="multilevel"/>
    <w:tmpl w:val="61E26B7D"/>
    <w:lvl w:ilvl="0" w:tentative="0">
      <w:start w:val="1"/>
      <w:numFmt w:val="bullet"/>
      <w:lvlText w:val=""/>
      <w:lvlJc w:val="left"/>
      <w:pPr>
        <w:ind w:left="1429" w:hanging="360"/>
      </w:pPr>
      <w:rPr>
        <w:rFonts w:hint="default" w:ascii="Symbol" w:hAnsi="Symbol"/>
      </w:rPr>
    </w:lvl>
    <w:lvl w:ilvl="1" w:tentative="0">
      <w:start w:val="1"/>
      <w:numFmt w:val="bullet"/>
      <w:lvlText w:val=""/>
      <w:lvlJc w:val="left"/>
      <w:pPr>
        <w:ind w:left="2149" w:hanging="360"/>
      </w:pPr>
      <w:rPr>
        <w:rFonts w:hint="default" w:ascii="Symbol" w:hAnsi="Symbol"/>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8">
    <w:nsid w:val="63B31A64"/>
    <w:multiLevelType w:val="multilevel"/>
    <w:tmpl w:val="63B31A64"/>
    <w:lvl w:ilvl="0" w:tentative="0">
      <w:start w:val="1"/>
      <w:numFmt w:val="bullet"/>
      <w:lvlText w:val=""/>
      <w:lvlJc w:val="left"/>
      <w:pPr>
        <w:ind w:left="1069" w:hanging="360"/>
      </w:pPr>
      <w:rPr>
        <w:rFonts w:hint="default" w:ascii="Symbol" w:hAnsi="Symbol"/>
      </w:rPr>
    </w:lvl>
    <w:lvl w:ilvl="1" w:tentative="0">
      <w:start w:val="1"/>
      <w:numFmt w:val="bullet"/>
      <w:lvlText w:val="o"/>
      <w:lvlJc w:val="left"/>
      <w:pPr>
        <w:ind w:left="1789" w:hanging="360"/>
      </w:pPr>
      <w:rPr>
        <w:rFonts w:hint="default" w:ascii="Courier New" w:hAnsi="Courier New" w:cs="Courier New"/>
      </w:rPr>
    </w:lvl>
    <w:lvl w:ilvl="2" w:tentative="0">
      <w:start w:val="1"/>
      <w:numFmt w:val="bullet"/>
      <w:lvlText w:val=""/>
      <w:lvlJc w:val="left"/>
      <w:pPr>
        <w:ind w:left="2509" w:hanging="360"/>
      </w:pPr>
      <w:rPr>
        <w:rFonts w:hint="default" w:ascii="Wingdings" w:hAnsi="Wingdings"/>
      </w:rPr>
    </w:lvl>
    <w:lvl w:ilvl="3" w:tentative="0">
      <w:start w:val="1"/>
      <w:numFmt w:val="bullet"/>
      <w:lvlText w:val=""/>
      <w:lvlJc w:val="left"/>
      <w:pPr>
        <w:ind w:left="3229" w:hanging="360"/>
      </w:pPr>
      <w:rPr>
        <w:rFonts w:hint="default" w:ascii="Symbol" w:hAnsi="Symbol"/>
      </w:rPr>
    </w:lvl>
    <w:lvl w:ilvl="4" w:tentative="0">
      <w:start w:val="1"/>
      <w:numFmt w:val="bullet"/>
      <w:lvlText w:val="o"/>
      <w:lvlJc w:val="left"/>
      <w:pPr>
        <w:ind w:left="3949" w:hanging="360"/>
      </w:pPr>
      <w:rPr>
        <w:rFonts w:hint="default" w:ascii="Courier New" w:hAnsi="Courier New" w:cs="Courier New"/>
      </w:rPr>
    </w:lvl>
    <w:lvl w:ilvl="5" w:tentative="0">
      <w:start w:val="1"/>
      <w:numFmt w:val="bullet"/>
      <w:lvlText w:val=""/>
      <w:lvlJc w:val="left"/>
      <w:pPr>
        <w:ind w:left="4669" w:hanging="360"/>
      </w:pPr>
      <w:rPr>
        <w:rFonts w:hint="default" w:ascii="Wingdings" w:hAnsi="Wingdings"/>
      </w:rPr>
    </w:lvl>
    <w:lvl w:ilvl="6" w:tentative="0">
      <w:start w:val="1"/>
      <w:numFmt w:val="bullet"/>
      <w:lvlText w:val=""/>
      <w:lvlJc w:val="left"/>
      <w:pPr>
        <w:ind w:left="5389" w:hanging="360"/>
      </w:pPr>
      <w:rPr>
        <w:rFonts w:hint="default" w:ascii="Symbol" w:hAnsi="Symbol"/>
      </w:rPr>
    </w:lvl>
    <w:lvl w:ilvl="7" w:tentative="0">
      <w:start w:val="1"/>
      <w:numFmt w:val="bullet"/>
      <w:lvlText w:val="o"/>
      <w:lvlJc w:val="left"/>
      <w:pPr>
        <w:ind w:left="6109" w:hanging="360"/>
      </w:pPr>
      <w:rPr>
        <w:rFonts w:hint="default" w:ascii="Courier New" w:hAnsi="Courier New" w:cs="Courier New"/>
      </w:rPr>
    </w:lvl>
    <w:lvl w:ilvl="8" w:tentative="0">
      <w:start w:val="1"/>
      <w:numFmt w:val="bullet"/>
      <w:lvlText w:val=""/>
      <w:lvlJc w:val="left"/>
      <w:pPr>
        <w:ind w:left="6829" w:hanging="360"/>
      </w:pPr>
      <w:rPr>
        <w:rFonts w:hint="default" w:ascii="Wingdings" w:hAnsi="Wingdings"/>
      </w:rPr>
    </w:lvl>
  </w:abstractNum>
  <w:abstractNum w:abstractNumId="9">
    <w:nsid w:val="77542E1B"/>
    <w:multiLevelType w:val="multilevel"/>
    <w:tmpl w:val="77542E1B"/>
    <w:lvl w:ilvl="0" w:tentative="0">
      <w:start w:val="1"/>
      <w:numFmt w:val="bullet"/>
      <w:lvlText w:val=""/>
      <w:lvlJc w:val="left"/>
      <w:pPr>
        <w:ind w:left="1429" w:hanging="360"/>
      </w:pPr>
      <w:rPr>
        <w:rFonts w:hint="default" w:ascii="Symbol" w:hAnsi="Symbol"/>
      </w:rPr>
    </w:lvl>
    <w:lvl w:ilvl="1" w:tentative="0">
      <w:start w:val="1"/>
      <w:numFmt w:val="bullet"/>
      <w:lvlText w:val=""/>
      <w:lvlJc w:val="left"/>
      <w:pPr>
        <w:ind w:left="2149" w:hanging="360"/>
      </w:pPr>
      <w:rPr>
        <w:rFonts w:hint="default" w:ascii="Symbol" w:hAnsi="Symbol"/>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0">
    <w:nsid w:val="7B024442"/>
    <w:multiLevelType w:val="multilevel"/>
    <w:tmpl w:val="7B02444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8"/>
  </w:num>
  <w:num w:numId="4">
    <w:abstractNumId w:val="5"/>
  </w:num>
  <w:num w:numId="5">
    <w:abstractNumId w:val="9"/>
  </w:num>
  <w:num w:numId="6">
    <w:abstractNumId w:val="4"/>
  </w:num>
  <w:num w:numId="7">
    <w:abstractNumId w:val="2"/>
  </w:num>
  <w:num w:numId="8">
    <w:abstractNumId w:val="10"/>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documentProtection w:enforcement="0"/>
  <w:defaultTabStop w:val="708"/>
  <w:hyphenationZone w:val="425"/>
  <w:drawingGridVerticalSpacing w:val="156"/>
  <w:noPunctuationKerning w:val="1"/>
  <w:characterSpacingControl w:val="doNotCompress"/>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494"/>
    <w:rsid w:val="00000E0D"/>
    <w:rsid w:val="000014CC"/>
    <w:rsid w:val="00002AB4"/>
    <w:rsid w:val="00003611"/>
    <w:rsid w:val="00006B25"/>
    <w:rsid w:val="00013216"/>
    <w:rsid w:val="00014578"/>
    <w:rsid w:val="000172ED"/>
    <w:rsid w:val="000235B4"/>
    <w:rsid w:val="0002391C"/>
    <w:rsid w:val="00023BF1"/>
    <w:rsid w:val="00033288"/>
    <w:rsid w:val="0004259C"/>
    <w:rsid w:val="00042D00"/>
    <w:rsid w:val="00047B36"/>
    <w:rsid w:val="00050D66"/>
    <w:rsid w:val="00051346"/>
    <w:rsid w:val="00053596"/>
    <w:rsid w:val="00053BF9"/>
    <w:rsid w:val="00056608"/>
    <w:rsid w:val="00061254"/>
    <w:rsid w:val="000617A6"/>
    <w:rsid w:val="00062378"/>
    <w:rsid w:val="00064BE9"/>
    <w:rsid w:val="0006603A"/>
    <w:rsid w:val="0007285D"/>
    <w:rsid w:val="000738AD"/>
    <w:rsid w:val="00074FB8"/>
    <w:rsid w:val="0007685B"/>
    <w:rsid w:val="00077713"/>
    <w:rsid w:val="00084DEB"/>
    <w:rsid w:val="000916F3"/>
    <w:rsid w:val="000A107F"/>
    <w:rsid w:val="000A11E7"/>
    <w:rsid w:val="000A7D3B"/>
    <w:rsid w:val="000B03B5"/>
    <w:rsid w:val="000B28F2"/>
    <w:rsid w:val="000B3909"/>
    <w:rsid w:val="000B4896"/>
    <w:rsid w:val="000B512F"/>
    <w:rsid w:val="000B6942"/>
    <w:rsid w:val="000B7BBA"/>
    <w:rsid w:val="000C00A4"/>
    <w:rsid w:val="000C07E7"/>
    <w:rsid w:val="000C08BE"/>
    <w:rsid w:val="000D05FF"/>
    <w:rsid w:val="000D06EF"/>
    <w:rsid w:val="000D3B7D"/>
    <w:rsid w:val="000D5627"/>
    <w:rsid w:val="000D7242"/>
    <w:rsid w:val="000D74D7"/>
    <w:rsid w:val="000E527E"/>
    <w:rsid w:val="000E7C7B"/>
    <w:rsid w:val="000F52BD"/>
    <w:rsid w:val="000F69C3"/>
    <w:rsid w:val="001043E5"/>
    <w:rsid w:val="001048B4"/>
    <w:rsid w:val="00106494"/>
    <w:rsid w:val="0010657C"/>
    <w:rsid w:val="001077D8"/>
    <w:rsid w:val="00114582"/>
    <w:rsid w:val="001155A6"/>
    <w:rsid w:val="00116BD3"/>
    <w:rsid w:val="001211DC"/>
    <w:rsid w:val="00121B4A"/>
    <w:rsid w:val="00123668"/>
    <w:rsid w:val="0012494F"/>
    <w:rsid w:val="00125C16"/>
    <w:rsid w:val="00126ABF"/>
    <w:rsid w:val="00127C0C"/>
    <w:rsid w:val="0013134B"/>
    <w:rsid w:val="001337BA"/>
    <w:rsid w:val="001341B6"/>
    <w:rsid w:val="00134CC7"/>
    <w:rsid w:val="00134CDA"/>
    <w:rsid w:val="00140A50"/>
    <w:rsid w:val="001419E7"/>
    <w:rsid w:val="00151C70"/>
    <w:rsid w:val="00152A49"/>
    <w:rsid w:val="00153259"/>
    <w:rsid w:val="001549D8"/>
    <w:rsid w:val="00160481"/>
    <w:rsid w:val="00163580"/>
    <w:rsid w:val="00163B7E"/>
    <w:rsid w:val="00163F81"/>
    <w:rsid w:val="00165044"/>
    <w:rsid w:val="00166547"/>
    <w:rsid w:val="00170F12"/>
    <w:rsid w:val="0017185F"/>
    <w:rsid w:val="00172479"/>
    <w:rsid w:val="001730D7"/>
    <w:rsid w:val="0017390D"/>
    <w:rsid w:val="0017578C"/>
    <w:rsid w:val="00176D08"/>
    <w:rsid w:val="00182206"/>
    <w:rsid w:val="0018231B"/>
    <w:rsid w:val="0018231D"/>
    <w:rsid w:val="001825BA"/>
    <w:rsid w:val="00186179"/>
    <w:rsid w:val="001864FC"/>
    <w:rsid w:val="00191F30"/>
    <w:rsid w:val="001927DC"/>
    <w:rsid w:val="00193B33"/>
    <w:rsid w:val="00194CCD"/>
    <w:rsid w:val="0019682D"/>
    <w:rsid w:val="001A2FC8"/>
    <w:rsid w:val="001A5A8F"/>
    <w:rsid w:val="001A6AC9"/>
    <w:rsid w:val="001A7DF2"/>
    <w:rsid w:val="001B01DD"/>
    <w:rsid w:val="001B0EBF"/>
    <w:rsid w:val="001B1C1C"/>
    <w:rsid w:val="001B1CC2"/>
    <w:rsid w:val="001B7411"/>
    <w:rsid w:val="001C1EE7"/>
    <w:rsid w:val="001C547D"/>
    <w:rsid w:val="001D0922"/>
    <w:rsid w:val="001D0C55"/>
    <w:rsid w:val="001D3DE8"/>
    <w:rsid w:val="001D3F04"/>
    <w:rsid w:val="001D4008"/>
    <w:rsid w:val="001D45B9"/>
    <w:rsid w:val="001D5C55"/>
    <w:rsid w:val="001E20AC"/>
    <w:rsid w:val="001F45E1"/>
    <w:rsid w:val="00202D2C"/>
    <w:rsid w:val="002148EE"/>
    <w:rsid w:val="0021515E"/>
    <w:rsid w:val="00222E4B"/>
    <w:rsid w:val="00227373"/>
    <w:rsid w:val="00227507"/>
    <w:rsid w:val="00230A15"/>
    <w:rsid w:val="00230C82"/>
    <w:rsid w:val="00231C63"/>
    <w:rsid w:val="00233CFD"/>
    <w:rsid w:val="00236508"/>
    <w:rsid w:val="00241A8B"/>
    <w:rsid w:val="00242E4D"/>
    <w:rsid w:val="00243584"/>
    <w:rsid w:val="002446E8"/>
    <w:rsid w:val="002473FA"/>
    <w:rsid w:val="002522E9"/>
    <w:rsid w:val="0025284A"/>
    <w:rsid w:val="00253EA4"/>
    <w:rsid w:val="00254A00"/>
    <w:rsid w:val="00255CF7"/>
    <w:rsid w:val="00257268"/>
    <w:rsid w:val="00257449"/>
    <w:rsid w:val="00260D0E"/>
    <w:rsid w:val="002625D6"/>
    <w:rsid w:val="00271BA3"/>
    <w:rsid w:val="00272409"/>
    <w:rsid w:val="00273D07"/>
    <w:rsid w:val="00276125"/>
    <w:rsid w:val="002809A8"/>
    <w:rsid w:val="002831E1"/>
    <w:rsid w:val="0028544B"/>
    <w:rsid w:val="0028626F"/>
    <w:rsid w:val="002878E1"/>
    <w:rsid w:val="00287F10"/>
    <w:rsid w:val="00293A71"/>
    <w:rsid w:val="002947BD"/>
    <w:rsid w:val="00295A5A"/>
    <w:rsid w:val="002963EF"/>
    <w:rsid w:val="002965F1"/>
    <w:rsid w:val="00297016"/>
    <w:rsid w:val="002A37BE"/>
    <w:rsid w:val="002A6E9F"/>
    <w:rsid w:val="002B0783"/>
    <w:rsid w:val="002B24A3"/>
    <w:rsid w:val="002B5259"/>
    <w:rsid w:val="002B5C39"/>
    <w:rsid w:val="002B65EF"/>
    <w:rsid w:val="002B66CF"/>
    <w:rsid w:val="002C0A90"/>
    <w:rsid w:val="002D1BE0"/>
    <w:rsid w:val="002D494D"/>
    <w:rsid w:val="002D5788"/>
    <w:rsid w:val="002D6493"/>
    <w:rsid w:val="002E28B4"/>
    <w:rsid w:val="002E7927"/>
    <w:rsid w:val="002E7D0C"/>
    <w:rsid w:val="002F210E"/>
    <w:rsid w:val="002F2731"/>
    <w:rsid w:val="002F3763"/>
    <w:rsid w:val="002F4FBC"/>
    <w:rsid w:val="002F655E"/>
    <w:rsid w:val="002F6597"/>
    <w:rsid w:val="002F7F4B"/>
    <w:rsid w:val="00300EE2"/>
    <w:rsid w:val="00303C51"/>
    <w:rsid w:val="00303EA2"/>
    <w:rsid w:val="003046F3"/>
    <w:rsid w:val="00304868"/>
    <w:rsid w:val="0030794E"/>
    <w:rsid w:val="00310793"/>
    <w:rsid w:val="00310835"/>
    <w:rsid w:val="003125A3"/>
    <w:rsid w:val="00313538"/>
    <w:rsid w:val="00320032"/>
    <w:rsid w:val="0032126C"/>
    <w:rsid w:val="00323014"/>
    <w:rsid w:val="003265F6"/>
    <w:rsid w:val="00332A08"/>
    <w:rsid w:val="00333355"/>
    <w:rsid w:val="0033603B"/>
    <w:rsid w:val="00340FCB"/>
    <w:rsid w:val="00342CF3"/>
    <w:rsid w:val="00343AEA"/>
    <w:rsid w:val="003445EA"/>
    <w:rsid w:val="00344774"/>
    <w:rsid w:val="00344962"/>
    <w:rsid w:val="00347483"/>
    <w:rsid w:val="00347F09"/>
    <w:rsid w:val="003513B9"/>
    <w:rsid w:val="00351A3C"/>
    <w:rsid w:val="0035377D"/>
    <w:rsid w:val="00357C17"/>
    <w:rsid w:val="00361FAD"/>
    <w:rsid w:val="003626F4"/>
    <w:rsid w:val="00363345"/>
    <w:rsid w:val="00363923"/>
    <w:rsid w:val="00363D5F"/>
    <w:rsid w:val="00363F51"/>
    <w:rsid w:val="003644D4"/>
    <w:rsid w:val="003656F2"/>
    <w:rsid w:val="0036750D"/>
    <w:rsid w:val="0037195F"/>
    <w:rsid w:val="003802D2"/>
    <w:rsid w:val="00380F84"/>
    <w:rsid w:val="003815DF"/>
    <w:rsid w:val="00381FB8"/>
    <w:rsid w:val="00382FF2"/>
    <w:rsid w:val="0038314E"/>
    <w:rsid w:val="0038365D"/>
    <w:rsid w:val="00383727"/>
    <w:rsid w:val="00383F38"/>
    <w:rsid w:val="003851AE"/>
    <w:rsid w:val="00385511"/>
    <w:rsid w:val="003906A0"/>
    <w:rsid w:val="00392169"/>
    <w:rsid w:val="00395786"/>
    <w:rsid w:val="0039740F"/>
    <w:rsid w:val="003A3EB1"/>
    <w:rsid w:val="003A48CE"/>
    <w:rsid w:val="003A55CA"/>
    <w:rsid w:val="003B09BA"/>
    <w:rsid w:val="003B26BC"/>
    <w:rsid w:val="003B5251"/>
    <w:rsid w:val="003B6508"/>
    <w:rsid w:val="003B75E9"/>
    <w:rsid w:val="003C229D"/>
    <w:rsid w:val="003C5414"/>
    <w:rsid w:val="003C612B"/>
    <w:rsid w:val="003D0420"/>
    <w:rsid w:val="003D3844"/>
    <w:rsid w:val="003D4AEC"/>
    <w:rsid w:val="003D6A27"/>
    <w:rsid w:val="003D7494"/>
    <w:rsid w:val="003E0A8D"/>
    <w:rsid w:val="003E47A0"/>
    <w:rsid w:val="003E51F4"/>
    <w:rsid w:val="003F3645"/>
    <w:rsid w:val="003F6003"/>
    <w:rsid w:val="003F74EB"/>
    <w:rsid w:val="00400651"/>
    <w:rsid w:val="0040139D"/>
    <w:rsid w:val="004021E0"/>
    <w:rsid w:val="0040378D"/>
    <w:rsid w:val="0040698D"/>
    <w:rsid w:val="004110EC"/>
    <w:rsid w:val="00413346"/>
    <w:rsid w:val="0041494E"/>
    <w:rsid w:val="004154F8"/>
    <w:rsid w:val="00415EA3"/>
    <w:rsid w:val="00416586"/>
    <w:rsid w:val="00417F1A"/>
    <w:rsid w:val="004204D9"/>
    <w:rsid w:val="004226A0"/>
    <w:rsid w:val="004261F0"/>
    <w:rsid w:val="00426B1F"/>
    <w:rsid w:val="00430969"/>
    <w:rsid w:val="00435CB9"/>
    <w:rsid w:val="00442CD1"/>
    <w:rsid w:val="00443060"/>
    <w:rsid w:val="00443852"/>
    <w:rsid w:val="00443D9E"/>
    <w:rsid w:val="00444191"/>
    <w:rsid w:val="0044488D"/>
    <w:rsid w:val="00444C24"/>
    <w:rsid w:val="004453CF"/>
    <w:rsid w:val="0044660C"/>
    <w:rsid w:val="00450863"/>
    <w:rsid w:val="0045544E"/>
    <w:rsid w:val="00456B59"/>
    <w:rsid w:val="0045714C"/>
    <w:rsid w:val="004611EB"/>
    <w:rsid w:val="0046528D"/>
    <w:rsid w:val="00465F8F"/>
    <w:rsid w:val="004673BD"/>
    <w:rsid w:val="00470A84"/>
    <w:rsid w:val="00480486"/>
    <w:rsid w:val="004835D5"/>
    <w:rsid w:val="004836BE"/>
    <w:rsid w:val="004858C5"/>
    <w:rsid w:val="00486720"/>
    <w:rsid w:val="00490B06"/>
    <w:rsid w:val="00491FF6"/>
    <w:rsid w:val="0049253E"/>
    <w:rsid w:val="00492F0C"/>
    <w:rsid w:val="00497EA4"/>
    <w:rsid w:val="004A31EA"/>
    <w:rsid w:val="004A701F"/>
    <w:rsid w:val="004B0CA1"/>
    <w:rsid w:val="004B3B98"/>
    <w:rsid w:val="004B69C4"/>
    <w:rsid w:val="004B6D81"/>
    <w:rsid w:val="004C07AF"/>
    <w:rsid w:val="004C4E73"/>
    <w:rsid w:val="004C5739"/>
    <w:rsid w:val="004D143B"/>
    <w:rsid w:val="004D3636"/>
    <w:rsid w:val="004D4173"/>
    <w:rsid w:val="004D5E0D"/>
    <w:rsid w:val="004D6399"/>
    <w:rsid w:val="004E002A"/>
    <w:rsid w:val="004E122C"/>
    <w:rsid w:val="004E129C"/>
    <w:rsid w:val="004E39CC"/>
    <w:rsid w:val="004E39DA"/>
    <w:rsid w:val="004E55CF"/>
    <w:rsid w:val="004E67D3"/>
    <w:rsid w:val="004F1D59"/>
    <w:rsid w:val="004F3F35"/>
    <w:rsid w:val="00500091"/>
    <w:rsid w:val="00504B6C"/>
    <w:rsid w:val="005059ED"/>
    <w:rsid w:val="00510A90"/>
    <w:rsid w:val="00510E26"/>
    <w:rsid w:val="00512C6F"/>
    <w:rsid w:val="00515A06"/>
    <w:rsid w:val="00520208"/>
    <w:rsid w:val="00520777"/>
    <w:rsid w:val="00521E73"/>
    <w:rsid w:val="00522773"/>
    <w:rsid w:val="005235C1"/>
    <w:rsid w:val="005235D4"/>
    <w:rsid w:val="00523AF1"/>
    <w:rsid w:val="00524B0F"/>
    <w:rsid w:val="00527164"/>
    <w:rsid w:val="00527B3A"/>
    <w:rsid w:val="00532C88"/>
    <w:rsid w:val="005368A2"/>
    <w:rsid w:val="00536DA7"/>
    <w:rsid w:val="00537EEC"/>
    <w:rsid w:val="00545CFD"/>
    <w:rsid w:val="00551F03"/>
    <w:rsid w:val="00553C53"/>
    <w:rsid w:val="00556CDB"/>
    <w:rsid w:val="00557031"/>
    <w:rsid w:val="005605C9"/>
    <w:rsid w:val="00563149"/>
    <w:rsid w:val="00563A0A"/>
    <w:rsid w:val="005714D2"/>
    <w:rsid w:val="00571540"/>
    <w:rsid w:val="00571851"/>
    <w:rsid w:val="00571B3F"/>
    <w:rsid w:val="00574293"/>
    <w:rsid w:val="00575691"/>
    <w:rsid w:val="00576953"/>
    <w:rsid w:val="005807E0"/>
    <w:rsid w:val="005823F7"/>
    <w:rsid w:val="00584B77"/>
    <w:rsid w:val="005854AA"/>
    <w:rsid w:val="00585857"/>
    <w:rsid w:val="00585D1A"/>
    <w:rsid w:val="005862FF"/>
    <w:rsid w:val="00590096"/>
    <w:rsid w:val="005909F2"/>
    <w:rsid w:val="005943E2"/>
    <w:rsid w:val="005959A4"/>
    <w:rsid w:val="005A034C"/>
    <w:rsid w:val="005A0359"/>
    <w:rsid w:val="005A0365"/>
    <w:rsid w:val="005A20A7"/>
    <w:rsid w:val="005A211F"/>
    <w:rsid w:val="005A3248"/>
    <w:rsid w:val="005A60A6"/>
    <w:rsid w:val="005B4F60"/>
    <w:rsid w:val="005B7D4C"/>
    <w:rsid w:val="005C085B"/>
    <w:rsid w:val="005C1D93"/>
    <w:rsid w:val="005C295C"/>
    <w:rsid w:val="005C2A2D"/>
    <w:rsid w:val="005C2A4D"/>
    <w:rsid w:val="005C3939"/>
    <w:rsid w:val="005D1AF0"/>
    <w:rsid w:val="005D3D03"/>
    <w:rsid w:val="005D560C"/>
    <w:rsid w:val="005D60EF"/>
    <w:rsid w:val="005D7025"/>
    <w:rsid w:val="005E1E5E"/>
    <w:rsid w:val="005E2815"/>
    <w:rsid w:val="005E42DF"/>
    <w:rsid w:val="005E6A37"/>
    <w:rsid w:val="005E7650"/>
    <w:rsid w:val="005F1A49"/>
    <w:rsid w:val="005F4954"/>
    <w:rsid w:val="005F5068"/>
    <w:rsid w:val="005F5FF3"/>
    <w:rsid w:val="005F6057"/>
    <w:rsid w:val="005F67DC"/>
    <w:rsid w:val="005F7A8F"/>
    <w:rsid w:val="00602D8E"/>
    <w:rsid w:val="0060426F"/>
    <w:rsid w:val="006045B5"/>
    <w:rsid w:val="00607790"/>
    <w:rsid w:val="00610D4B"/>
    <w:rsid w:val="00610FE5"/>
    <w:rsid w:val="00612AD5"/>
    <w:rsid w:val="00617B3D"/>
    <w:rsid w:val="00635181"/>
    <w:rsid w:val="006362D0"/>
    <w:rsid w:val="00636E10"/>
    <w:rsid w:val="00642390"/>
    <w:rsid w:val="006531D4"/>
    <w:rsid w:val="0065643F"/>
    <w:rsid w:val="006574E6"/>
    <w:rsid w:val="00663871"/>
    <w:rsid w:val="00670BCB"/>
    <w:rsid w:val="00674516"/>
    <w:rsid w:val="00677662"/>
    <w:rsid w:val="00683B80"/>
    <w:rsid w:val="00690839"/>
    <w:rsid w:val="00691184"/>
    <w:rsid w:val="00695CF5"/>
    <w:rsid w:val="006A120B"/>
    <w:rsid w:val="006A2A44"/>
    <w:rsid w:val="006A2B4C"/>
    <w:rsid w:val="006A463D"/>
    <w:rsid w:val="006A53AE"/>
    <w:rsid w:val="006A551F"/>
    <w:rsid w:val="006A6885"/>
    <w:rsid w:val="006A7319"/>
    <w:rsid w:val="006A784B"/>
    <w:rsid w:val="006B691D"/>
    <w:rsid w:val="006C05C2"/>
    <w:rsid w:val="006C1B9A"/>
    <w:rsid w:val="006C32C3"/>
    <w:rsid w:val="006C373A"/>
    <w:rsid w:val="006C66AE"/>
    <w:rsid w:val="006D0D0D"/>
    <w:rsid w:val="006D2909"/>
    <w:rsid w:val="006D46AB"/>
    <w:rsid w:val="006D51AD"/>
    <w:rsid w:val="006D5542"/>
    <w:rsid w:val="006E0174"/>
    <w:rsid w:val="006E2C7C"/>
    <w:rsid w:val="006E3198"/>
    <w:rsid w:val="006E63F9"/>
    <w:rsid w:val="006F07FE"/>
    <w:rsid w:val="006F2E7B"/>
    <w:rsid w:val="006F2F65"/>
    <w:rsid w:val="006F72E8"/>
    <w:rsid w:val="006F7713"/>
    <w:rsid w:val="007002CE"/>
    <w:rsid w:val="00702862"/>
    <w:rsid w:val="0070304C"/>
    <w:rsid w:val="00705D7C"/>
    <w:rsid w:val="00705F9F"/>
    <w:rsid w:val="00707E06"/>
    <w:rsid w:val="00712B45"/>
    <w:rsid w:val="00713534"/>
    <w:rsid w:val="00721940"/>
    <w:rsid w:val="0072322F"/>
    <w:rsid w:val="00724EE6"/>
    <w:rsid w:val="0073292B"/>
    <w:rsid w:val="007340C0"/>
    <w:rsid w:val="0073560B"/>
    <w:rsid w:val="00735D8D"/>
    <w:rsid w:val="00736026"/>
    <w:rsid w:val="00737B22"/>
    <w:rsid w:val="00741945"/>
    <w:rsid w:val="00743026"/>
    <w:rsid w:val="00744239"/>
    <w:rsid w:val="0075001E"/>
    <w:rsid w:val="007524B3"/>
    <w:rsid w:val="00754430"/>
    <w:rsid w:val="007548F0"/>
    <w:rsid w:val="00755D6D"/>
    <w:rsid w:val="00760E87"/>
    <w:rsid w:val="007648B2"/>
    <w:rsid w:val="0076621E"/>
    <w:rsid w:val="007662F9"/>
    <w:rsid w:val="0077301E"/>
    <w:rsid w:val="007744D9"/>
    <w:rsid w:val="007747DA"/>
    <w:rsid w:val="00787569"/>
    <w:rsid w:val="007876B3"/>
    <w:rsid w:val="007876C1"/>
    <w:rsid w:val="00790107"/>
    <w:rsid w:val="00793DDD"/>
    <w:rsid w:val="0079627F"/>
    <w:rsid w:val="007A109D"/>
    <w:rsid w:val="007A2C9F"/>
    <w:rsid w:val="007A32F5"/>
    <w:rsid w:val="007A6095"/>
    <w:rsid w:val="007A670F"/>
    <w:rsid w:val="007A679C"/>
    <w:rsid w:val="007B5F75"/>
    <w:rsid w:val="007B772E"/>
    <w:rsid w:val="007C03C4"/>
    <w:rsid w:val="007C04D5"/>
    <w:rsid w:val="007C31B3"/>
    <w:rsid w:val="007C49EE"/>
    <w:rsid w:val="007C4D5D"/>
    <w:rsid w:val="007D11F6"/>
    <w:rsid w:val="007D1894"/>
    <w:rsid w:val="007D2B97"/>
    <w:rsid w:val="007D5C4F"/>
    <w:rsid w:val="007E0A48"/>
    <w:rsid w:val="007E1A59"/>
    <w:rsid w:val="007E2F4D"/>
    <w:rsid w:val="007E39D6"/>
    <w:rsid w:val="007E54AE"/>
    <w:rsid w:val="007E6671"/>
    <w:rsid w:val="007E6B9F"/>
    <w:rsid w:val="007F069B"/>
    <w:rsid w:val="007F1D64"/>
    <w:rsid w:val="00801D46"/>
    <w:rsid w:val="008034A1"/>
    <w:rsid w:val="0080604F"/>
    <w:rsid w:val="00806189"/>
    <w:rsid w:val="008141A7"/>
    <w:rsid w:val="0081688F"/>
    <w:rsid w:val="00822396"/>
    <w:rsid w:val="0082620C"/>
    <w:rsid w:val="00831B12"/>
    <w:rsid w:val="00834D37"/>
    <w:rsid w:val="00834DE0"/>
    <w:rsid w:val="0083648C"/>
    <w:rsid w:val="0084077F"/>
    <w:rsid w:val="00842158"/>
    <w:rsid w:val="00843806"/>
    <w:rsid w:val="00846FF8"/>
    <w:rsid w:val="00847FAD"/>
    <w:rsid w:val="00851E24"/>
    <w:rsid w:val="008565E3"/>
    <w:rsid w:val="00857031"/>
    <w:rsid w:val="0086528F"/>
    <w:rsid w:val="00866EA2"/>
    <w:rsid w:val="008717F4"/>
    <w:rsid w:val="0087387E"/>
    <w:rsid w:val="00874330"/>
    <w:rsid w:val="0088492D"/>
    <w:rsid w:val="00885B09"/>
    <w:rsid w:val="00886949"/>
    <w:rsid w:val="00886D04"/>
    <w:rsid w:val="00887202"/>
    <w:rsid w:val="00891791"/>
    <w:rsid w:val="00891EBD"/>
    <w:rsid w:val="0089485C"/>
    <w:rsid w:val="00897BFE"/>
    <w:rsid w:val="008A50E6"/>
    <w:rsid w:val="008A5F2A"/>
    <w:rsid w:val="008B4243"/>
    <w:rsid w:val="008B4828"/>
    <w:rsid w:val="008B6A88"/>
    <w:rsid w:val="008B7D0A"/>
    <w:rsid w:val="008C0F60"/>
    <w:rsid w:val="008C1ADC"/>
    <w:rsid w:val="008C4421"/>
    <w:rsid w:val="008C56E5"/>
    <w:rsid w:val="008C6DD9"/>
    <w:rsid w:val="008D3124"/>
    <w:rsid w:val="008D4490"/>
    <w:rsid w:val="008D6547"/>
    <w:rsid w:val="008D678C"/>
    <w:rsid w:val="008E3FA8"/>
    <w:rsid w:val="008E67DC"/>
    <w:rsid w:val="008F1ED9"/>
    <w:rsid w:val="00903DF8"/>
    <w:rsid w:val="0090453E"/>
    <w:rsid w:val="00904D72"/>
    <w:rsid w:val="00907D5F"/>
    <w:rsid w:val="009138CA"/>
    <w:rsid w:val="009147D0"/>
    <w:rsid w:val="00915B13"/>
    <w:rsid w:val="009200B0"/>
    <w:rsid w:val="00920D38"/>
    <w:rsid w:val="00924948"/>
    <w:rsid w:val="00925C15"/>
    <w:rsid w:val="0092648D"/>
    <w:rsid w:val="009311A3"/>
    <w:rsid w:val="0093399C"/>
    <w:rsid w:val="00934028"/>
    <w:rsid w:val="00936332"/>
    <w:rsid w:val="0093796F"/>
    <w:rsid w:val="009417EC"/>
    <w:rsid w:val="0094195B"/>
    <w:rsid w:val="009420C0"/>
    <w:rsid w:val="0094495A"/>
    <w:rsid w:val="00952356"/>
    <w:rsid w:val="00952746"/>
    <w:rsid w:val="00955043"/>
    <w:rsid w:val="00957F7F"/>
    <w:rsid w:val="009619FD"/>
    <w:rsid w:val="00961D80"/>
    <w:rsid w:val="00963E29"/>
    <w:rsid w:val="00964072"/>
    <w:rsid w:val="009645FD"/>
    <w:rsid w:val="0096763E"/>
    <w:rsid w:val="0097204D"/>
    <w:rsid w:val="0097554F"/>
    <w:rsid w:val="00976C99"/>
    <w:rsid w:val="0097790D"/>
    <w:rsid w:val="00984602"/>
    <w:rsid w:val="009846D8"/>
    <w:rsid w:val="00986B7C"/>
    <w:rsid w:val="00991650"/>
    <w:rsid w:val="0099227C"/>
    <w:rsid w:val="00993255"/>
    <w:rsid w:val="00996537"/>
    <w:rsid w:val="009A013B"/>
    <w:rsid w:val="009A1EB4"/>
    <w:rsid w:val="009A3337"/>
    <w:rsid w:val="009A39FF"/>
    <w:rsid w:val="009A4E6C"/>
    <w:rsid w:val="009B0ADD"/>
    <w:rsid w:val="009B28F1"/>
    <w:rsid w:val="009B6E39"/>
    <w:rsid w:val="009C0E9B"/>
    <w:rsid w:val="009C1935"/>
    <w:rsid w:val="009C1B27"/>
    <w:rsid w:val="009C2983"/>
    <w:rsid w:val="009C474A"/>
    <w:rsid w:val="009C4C03"/>
    <w:rsid w:val="009C64E8"/>
    <w:rsid w:val="009D4E76"/>
    <w:rsid w:val="009D5037"/>
    <w:rsid w:val="009D6705"/>
    <w:rsid w:val="009F5E11"/>
    <w:rsid w:val="009F5F98"/>
    <w:rsid w:val="009F688C"/>
    <w:rsid w:val="00A01FA5"/>
    <w:rsid w:val="00A02D7E"/>
    <w:rsid w:val="00A03616"/>
    <w:rsid w:val="00A05F7D"/>
    <w:rsid w:val="00A10DAB"/>
    <w:rsid w:val="00A11F88"/>
    <w:rsid w:val="00A26B39"/>
    <w:rsid w:val="00A27F85"/>
    <w:rsid w:val="00A30F12"/>
    <w:rsid w:val="00A332C0"/>
    <w:rsid w:val="00A3779B"/>
    <w:rsid w:val="00A41DF9"/>
    <w:rsid w:val="00A41EF6"/>
    <w:rsid w:val="00A43364"/>
    <w:rsid w:val="00A46EBE"/>
    <w:rsid w:val="00A47F53"/>
    <w:rsid w:val="00A501B8"/>
    <w:rsid w:val="00A50790"/>
    <w:rsid w:val="00A51366"/>
    <w:rsid w:val="00A53590"/>
    <w:rsid w:val="00A55383"/>
    <w:rsid w:val="00A60C8E"/>
    <w:rsid w:val="00A612C3"/>
    <w:rsid w:val="00A64A7D"/>
    <w:rsid w:val="00A6522B"/>
    <w:rsid w:val="00A65E25"/>
    <w:rsid w:val="00A66795"/>
    <w:rsid w:val="00A6733A"/>
    <w:rsid w:val="00A72C80"/>
    <w:rsid w:val="00A738DD"/>
    <w:rsid w:val="00A76921"/>
    <w:rsid w:val="00A8050F"/>
    <w:rsid w:val="00A85970"/>
    <w:rsid w:val="00A86270"/>
    <w:rsid w:val="00A915BE"/>
    <w:rsid w:val="00A928A0"/>
    <w:rsid w:val="00A96FB2"/>
    <w:rsid w:val="00A97919"/>
    <w:rsid w:val="00AA0D59"/>
    <w:rsid w:val="00AA73C8"/>
    <w:rsid w:val="00AB04C7"/>
    <w:rsid w:val="00AB1C3F"/>
    <w:rsid w:val="00AB449A"/>
    <w:rsid w:val="00AB4F4E"/>
    <w:rsid w:val="00AB533E"/>
    <w:rsid w:val="00AB551F"/>
    <w:rsid w:val="00AB60A0"/>
    <w:rsid w:val="00AB656B"/>
    <w:rsid w:val="00AC0907"/>
    <w:rsid w:val="00AC30C5"/>
    <w:rsid w:val="00AC3BC1"/>
    <w:rsid w:val="00AC50A7"/>
    <w:rsid w:val="00AD0D2D"/>
    <w:rsid w:val="00AD13CD"/>
    <w:rsid w:val="00AD7911"/>
    <w:rsid w:val="00AE2A82"/>
    <w:rsid w:val="00AE664D"/>
    <w:rsid w:val="00AF07B6"/>
    <w:rsid w:val="00AF24A2"/>
    <w:rsid w:val="00AF24BD"/>
    <w:rsid w:val="00AF2C14"/>
    <w:rsid w:val="00AF3D11"/>
    <w:rsid w:val="00B01EA9"/>
    <w:rsid w:val="00B065DB"/>
    <w:rsid w:val="00B11C10"/>
    <w:rsid w:val="00B14540"/>
    <w:rsid w:val="00B15C58"/>
    <w:rsid w:val="00B203FE"/>
    <w:rsid w:val="00B26618"/>
    <w:rsid w:val="00B33B0E"/>
    <w:rsid w:val="00B36458"/>
    <w:rsid w:val="00B36752"/>
    <w:rsid w:val="00B413C9"/>
    <w:rsid w:val="00B42494"/>
    <w:rsid w:val="00B42F27"/>
    <w:rsid w:val="00B43315"/>
    <w:rsid w:val="00B44F5D"/>
    <w:rsid w:val="00B46BBC"/>
    <w:rsid w:val="00B4719E"/>
    <w:rsid w:val="00B51969"/>
    <w:rsid w:val="00B52CF1"/>
    <w:rsid w:val="00B53AB9"/>
    <w:rsid w:val="00B54305"/>
    <w:rsid w:val="00B56159"/>
    <w:rsid w:val="00B56F4B"/>
    <w:rsid w:val="00B57B86"/>
    <w:rsid w:val="00B605BF"/>
    <w:rsid w:val="00B679AD"/>
    <w:rsid w:val="00B70684"/>
    <w:rsid w:val="00B718C1"/>
    <w:rsid w:val="00B728A6"/>
    <w:rsid w:val="00B75591"/>
    <w:rsid w:val="00B77603"/>
    <w:rsid w:val="00B92901"/>
    <w:rsid w:val="00B977C8"/>
    <w:rsid w:val="00BA0419"/>
    <w:rsid w:val="00BA1AAF"/>
    <w:rsid w:val="00BA68CD"/>
    <w:rsid w:val="00BA784A"/>
    <w:rsid w:val="00BA7F52"/>
    <w:rsid w:val="00BB0887"/>
    <w:rsid w:val="00BB2F29"/>
    <w:rsid w:val="00BB3358"/>
    <w:rsid w:val="00BB62B3"/>
    <w:rsid w:val="00BB7246"/>
    <w:rsid w:val="00BC09EC"/>
    <w:rsid w:val="00BC661D"/>
    <w:rsid w:val="00BD5379"/>
    <w:rsid w:val="00BE2FD4"/>
    <w:rsid w:val="00BE4963"/>
    <w:rsid w:val="00BE5202"/>
    <w:rsid w:val="00BE6B91"/>
    <w:rsid w:val="00BF1F90"/>
    <w:rsid w:val="00BF4668"/>
    <w:rsid w:val="00BF5F9B"/>
    <w:rsid w:val="00BF6F01"/>
    <w:rsid w:val="00BF7E0F"/>
    <w:rsid w:val="00C00F98"/>
    <w:rsid w:val="00C01090"/>
    <w:rsid w:val="00C030CA"/>
    <w:rsid w:val="00C06943"/>
    <w:rsid w:val="00C11425"/>
    <w:rsid w:val="00C11666"/>
    <w:rsid w:val="00C11EA9"/>
    <w:rsid w:val="00C12351"/>
    <w:rsid w:val="00C22B33"/>
    <w:rsid w:val="00C24321"/>
    <w:rsid w:val="00C260C5"/>
    <w:rsid w:val="00C26EB0"/>
    <w:rsid w:val="00C275B4"/>
    <w:rsid w:val="00C27AD7"/>
    <w:rsid w:val="00C27D07"/>
    <w:rsid w:val="00C40027"/>
    <w:rsid w:val="00C51600"/>
    <w:rsid w:val="00C53B03"/>
    <w:rsid w:val="00C55683"/>
    <w:rsid w:val="00C561A3"/>
    <w:rsid w:val="00C56D73"/>
    <w:rsid w:val="00C61DE1"/>
    <w:rsid w:val="00C62EBF"/>
    <w:rsid w:val="00C635D4"/>
    <w:rsid w:val="00C63B46"/>
    <w:rsid w:val="00C70C5F"/>
    <w:rsid w:val="00C72B97"/>
    <w:rsid w:val="00C7324B"/>
    <w:rsid w:val="00C762C2"/>
    <w:rsid w:val="00C77D52"/>
    <w:rsid w:val="00C817DC"/>
    <w:rsid w:val="00C817E6"/>
    <w:rsid w:val="00C90947"/>
    <w:rsid w:val="00C91AF1"/>
    <w:rsid w:val="00C92222"/>
    <w:rsid w:val="00C950AC"/>
    <w:rsid w:val="00C95A40"/>
    <w:rsid w:val="00C9600D"/>
    <w:rsid w:val="00C968FD"/>
    <w:rsid w:val="00C9701F"/>
    <w:rsid w:val="00CA1A22"/>
    <w:rsid w:val="00CA324E"/>
    <w:rsid w:val="00CA3823"/>
    <w:rsid w:val="00CA408B"/>
    <w:rsid w:val="00CA728A"/>
    <w:rsid w:val="00CA7316"/>
    <w:rsid w:val="00CB71E1"/>
    <w:rsid w:val="00CB7B2E"/>
    <w:rsid w:val="00CC005F"/>
    <w:rsid w:val="00CC3081"/>
    <w:rsid w:val="00CD0831"/>
    <w:rsid w:val="00CD1332"/>
    <w:rsid w:val="00CD23A7"/>
    <w:rsid w:val="00CD48AD"/>
    <w:rsid w:val="00CD50A6"/>
    <w:rsid w:val="00CD5F51"/>
    <w:rsid w:val="00CE04BC"/>
    <w:rsid w:val="00CE098A"/>
    <w:rsid w:val="00CE2743"/>
    <w:rsid w:val="00CE3862"/>
    <w:rsid w:val="00CE405A"/>
    <w:rsid w:val="00CE5965"/>
    <w:rsid w:val="00CE608A"/>
    <w:rsid w:val="00CE61F2"/>
    <w:rsid w:val="00CE64E2"/>
    <w:rsid w:val="00CE7158"/>
    <w:rsid w:val="00CF718A"/>
    <w:rsid w:val="00D00169"/>
    <w:rsid w:val="00D003CA"/>
    <w:rsid w:val="00D020ED"/>
    <w:rsid w:val="00D0647A"/>
    <w:rsid w:val="00D13BC4"/>
    <w:rsid w:val="00D14695"/>
    <w:rsid w:val="00D168AA"/>
    <w:rsid w:val="00D20790"/>
    <w:rsid w:val="00D208F5"/>
    <w:rsid w:val="00D229BC"/>
    <w:rsid w:val="00D24049"/>
    <w:rsid w:val="00D242F0"/>
    <w:rsid w:val="00D27EFE"/>
    <w:rsid w:val="00D34B10"/>
    <w:rsid w:val="00D34B95"/>
    <w:rsid w:val="00D34F27"/>
    <w:rsid w:val="00D3537C"/>
    <w:rsid w:val="00D3612D"/>
    <w:rsid w:val="00D37876"/>
    <w:rsid w:val="00D37C8B"/>
    <w:rsid w:val="00D416D5"/>
    <w:rsid w:val="00D418EC"/>
    <w:rsid w:val="00D42113"/>
    <w:rsid w:val="00D426B5"/>
    <w:rsid w:val="00D455A5"/>
    <w:rsid w:val="00D465D5"/>
    <w:rsid w:val="00D51B8A"/>
    <w:rsid w:val="00D52DEF"/>
    <w:rsid w:val="00D54B49"/>
    <w:rsid w:val="00D54EBC"/>
    <w:rsid w:val="00D54F14"/>
    <w:rsid w:val="00D56540"/>
    <w:rsid w:val="00D57EDB"/>
    <w:rsid w:val="00D605BE"/>
    <w:rsid w:val="00D60923"/>
    <w:rsid w:val="00D63163"/>
    <w:rsid w:val="00D63904"/>
    <w:rsid w:val="00D727A8"/>
    <w:rsid w:val="00D83164"/>
    <w:rsid w:val="00D945A3"/>
    <w:rsid w:val="00D94E48"/>
    <w:rsid w:val="00D957F2"/>
    <w:rsid w:val="00D97242"/>
    <w:rsid w:val="00DA0EDE"/>
    <w:rsid w:val="00DA181B"/>
    <w:rsid w:val="00DA5A80"/>
    <w:rsid w:val="00DB1AAD"/>
    <w:rsid w:val="00DB32C9"/>
    <w:rsid w:val="00DB79D0"/>
    <w:rsid w:val="00DC05E7"/>
    <w:rsid w:val="00DC1149"/>
    <w:rsid w:val="00DC2928"/>
    <w:rsid w:val="00DC74E7"/>
    <w:rsid w:val="00DD10FC"/>
    <w:rsid w:val="00DD26C4"/>
    <w:rsid w:val="00DD289D"/>
    <w:rsid w:val="00DD3A28"/>
    <w:rsid w:val="00DD3BB3"/>
    <w:rsid w:val="00DD69DE"/>
    <w:rsid w:val="00DE107D"/>
    <w:rsid w:val="00DE15A8"/>
    <w:rsid w:val="00DE3B18"/>
    <w:rsid w:val="00DE4E54"/>
    <w:rsid w:val="00E03EE9"/>
    <w:rsid w:val="00E04BD5"/>
    <w:rsid w:val="00E06AA5"/>
    <w:rsid w:val="00E1094B"/>
    <w:rsid w:val="00E1250B"/>
    <w:rsid w:val="00E144DE"/>
    <w:rsid w:val="00E21499"/>
    <w:rsid w:val="00E2186E"/>
    <w:rsid w:val="00E22A25"/>
    <w:rsid w:val="00E236A1"/>
    <w:rsid w:val="00E243A2"/>
    <w:rsid w:val="00E25324"/>
    <w:rsid w:val="00E2788B"/>
    <w:rsid w:val="00E318DD"/>
    <w:rsid w:val="00E319A4"/>
    <w:rsid w:val="00E34D03"/>
    <w:rsid w:val="00E35617"/>
    <w:rsid w:val="00E356D8"/>
    <w:rsid w:val="00E412DD"/>
    <w:rsid w:val="00E43856"/>
    <w:rsid w:val="00E479D2"/>
    <w:rsid w:val="00E53DBB"/>
    <w:rsid w:val="00E618EB"/>
    <w:rsid w:val="00E6601D"/>
    <w:rsid w:val="00E73872"/>
    <w:rsid w:val="00E764C6"/>
    <w:rsid w:val="00E77255"/>
    <w:rsid w:val="00E80E90"/>
    <w:rsid w:val="00E81948"/>
    <w:rsid w:val="00E842E7"/>
    <w:rsid w:val="00E90961"/>
    <w:rsid w:val="00E91237"/>
    <w:rsid w:val="00E94EDA"/>
    <w:rsid w:val="00E94F3D"/>
    <w:rsid w:val="00E955E6"/>
    <w:rsid w:val="00E9623D"/>
    <w:rsid w:val="00E967C1"/>
    <w:rsid w:val="00E96927"/>
    <w:rsid w:val="00EA255B"/>
    <w:rsid w:val="00EA5C4F"/>
    <w:rsid w:val="00EA7EB8"/>
    <w:rsid w:val="00EB20DF"/>
    <w:rsid w:val="00EB6588"/>
    <w:rsid w:val="00EB6C1D"/>
    <w:rsid w:val="00EC431B"/>
    <w:rsid w:val="00EC4532"/>
    <w:rsid w:val="00EC5311"/>
    <w:rsid w:val="00EC693C"/>
    <w:rsid w:val="00EC6ABB"/>
    <w:rsid w:val="00EC70BE"/>
    <w:rsid w:val="00ED09B0"/>
    <w:rsid w:val="00ED113F"/>
    <w:rsid w:val="00ED1321"/>
    <w:rsid w:val="00ED138E"/>
    <w:rsid w:val="00ED32DB"/>
    <w:rsid w:val="00ED63D5"/>
    <w:rsid w:val="00ED7D60"/>
    <w:rsid w:val="00EE2D7B"/>
    <w:rsid w:val="00EE3EA3"/>
    <w:rsid w:val="00EE4865"/>
    <w:rsid w:val="00EE6C2B"/>
    <w:rsid w:val="00EF120A"/>
    <w:rsid w:val="00EF1E75"/>
    <w:rsid w:val="00F00C00"/>
    <w:rsid w:val="00F02C89"/>
    <w:rsid w:val="00F04A63"/>
    <w:rsid w:val="00F0550B"/>
    <w:rsid w:val="00F10047"/>
    <w:rsid w:val="00F1037E"/>
    <w:rsid w:val="00F1056B"/>
    <w:rsid w:val="00F11B8E"/>
    <w:rsid w:val="00F12C1C"/>
    <w:rsid w:val="00F21C2D"/>
    <w:rsid w:val="00F2377C"/>
    <w:rsid w:val="00F25262"/>
    <w:rsid w:val="00F27726"/>
    <w:rsid w:val="00F304A3"/>
    <w:rsid w:val="00F315B0"/>
    <w:rsid w:val="00F31903"/>
    <w:rsid w:val="00F33931"/>
    <w:rsid w:val="00F33CB2"/>
    <w:rsid w:val="00F34314"/>
    <w:rsid w:val="00F3542D"/>
    <w:rsid w:val="00F36206"/>
    <w:rsid w:val="00F422E9"/>
    <w:rsid w:val="00F42B43"/>
    <w:rsid w:val="00F42E2F"/>
    <w:rsid w:val="00F43A1D"/>
    <w:rsid w:val="00F452BD"/>
    <w:rsid w:val="00F4611B"/>
    <w:rsid w:val="00F53CA8"/>
    <w:rsid w:val="00F547D0"/>
    <w:rsid w:val="00F54C2A"/>
    <w:rsid w:val="00F6103A"/>
    <w:rsid w:val="00F6788F"/>
    <w:rsid w:val="00F7064C"/>
    <w:rsid w:val="00F70B69"/>
    <w:rsid w:val="00F7165D"/>
    <w:rsid w:val="00F72B2D"/>
    <w:rsid w:val="00F73684"/>
    <w:rsid w:val="00F830C5"/>
    <w:rsid w:val="00F8411D"/>
    <w:rsid w:val="00F850FB"/>
    <w:rsid w:val="00F874A7"/>
    <w:rsid w:val="00F90E3C"/>
    <w:rsid w:val="00F94452"/>
    <w:rsid w:val="00F9527A"/>
    <w:rsid w:val="00F9535D"/>
    <w:rsid w:val="00F97AA1"/>
    <w:rsid w:val="00FB2E68"/>
    <w:rsid w:val="00FB4AD9"/>
    <w:rsid w:val="00FB7B51"/>
    <w:rsid w:val="00FC286E"/>
    <w:rsid w:val="00FC4A00"/>
    <w:rsid w:val="00FC5F01"/>
    <w:rsid w:val="00FC6311"/>
    <w:rsid w:val="00FD0398"/>
    <w:rsid w:val="00FD04A2"/>
    <w:rsid w:val="00FD36D1"/>
    <w:rsid w:val="00FD503C"/>
    <w:rsid w:val="00FD51C0"/>
    <w:rsid w:val="00FD5491"/>
    <w:rsid w:val="00FD7859"/>
    <w:rsid w:val="00FE1356"/>
    <w:rsid w:val="00FE1580"/>
    <w:rsid w:val="00FE1D4B"/>
    <w:rsid w:val="00FE36CE"/>
    <w:rsid w:val="00FE41DB"/>
    <w:rsid w:val="00FE60C8"/>
    <w:rsid w:val="00FF1228"/>
    <w:rsid w:val="00FF428D"/>
    <w:rsid w:val="00FF4978"/>
    <w:rsid w:val="00FF59F5"/>
    <w:rsid w:val="00FF7137"/>
    <w:rsid w:val="038759E7"/>
    <w:rsid w:val="0DAC16A6"/>
    <w:rsid w:val="0E493C82"/>
    <w:rsid w:val="15E57923"/>
    <w:rsid w:val="197C690C"/>
    <w:rsid w:val="2A0B3707"/>
    <w:rsid w:val="306B6636"/>
    <w:rsid w:val="338A34D7"/>
    <w:rsid w:val="339508CE"/>
    <w:rsid w:val="37FA18E4"/>
    <w:rsid w:val="3B1D2A21"/>
    <w:rsid w:val="41404B99"/>
    <w:rsid w:val="44B77FD9"/>
    <w:rsid w:val="4D1E7BB5"/>
    <w:rsid w:val="4EE22A13"/>
    <w:rsid w:val="54637DFF"/>
    <w:rsid w:val="54F70A51"/>
    <w:rsid w:val="57974DFD"/>
    <w:rsid w:val="5B6F52BC"/>
    <w:rsid w:val="5DB1515F"/>
    <w:rsid w:val="75905670"/>
    <w:rsid w:val="75AE278A"/>
    <w:rsid w:val="77C85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99" w:name="Placeholder Text"/>
    <w:lsdException w:qFormat="1" w:unhideWhenUsed="0" w:uiPriority="1" w:semiHidden="0" w:name="No Spacing"/>
    <w:lsdException w:qFormat="1"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llowedHyperlink"/>
    <w:basedOn w:val="2"/>
    <w:qFormat/>
    <w:uiPriority w:val="0"/>
    <w:rPr>
      <w:color w:val="954F72" w:themeColor="followedHyperlink"/>
      <w:u w:val="single"/>
      <w14:textFill>
        <w14:solidFill>
          <w14:schemeClr w14:val="folHlink"/>
        </w14:solidFill>
      </w14:textFill>
    </w:rPr>
  </w:style>
  <w:style w:type="character" w:styleId="5">
    <w:name w:val="annotation reference"/>
    <w:basedOn w:val="2"/>
    <w:qFormat/>
    <w:uiPriority w:val="0"/>
    <w:rPr>
      <w:sz w:val="16"/>
      <w:szCs w:val="16"/>
    </w:rPr>
  </w:style>
  <w:style w:type="character" w:styleId="6">
    <w:name w:val="Hyperlink"/>
    <w:basedOn w:val="2"/>
    <w:unhideWhenUsed/>
    <w:qFormat/>
    <w:uiPriority w:val="99"/>
    <w:rPr>
      <w:color w:val="0000FF"/>
      <w:u w:val="single"/>
    </w:rPr>
  </w:style>
  <w:style w:type="paragraph" w:styleId="7">
    <w:name w:val="Balloon Text"/>
    <w:basedOn w:val="1"/>
    <w:link w:val="17"/>
    <w:qFormat/>
    <w:uiPriority w:val="99"/>
    <w:rPr>
      <w:rFonts w:ascii="Segoe UI" w:hAnsi="Segoe UI" w:cs="Segoe UI"/>
      <w:sz w:val="18"/>
      <w:szCs w:val="18"/>
    </w:rPr>
  </w:style>
  <w:style w:type="paragraph" w:styleId="8">
    <w:name w:val="annotation text"/>
    <w:basedOn w:val="1"/>
    <w:link w:val="15"/>
    <w:qFormat/>
    <w:uiPriority w:val="0"/>
  </w:style>
  <w:style w:type="paragraph" w:styleId="9">
    <w:name w:val="annotation subject"/>
    <w:basedOn w:val="8"/>
    <w:next w:val="8"/>
    <w:link w:val="16"/>
    <w:qFormat/>
    <w:uiPriority w:val="0"/>
    <w:rPr>
      <w:b/>
      <w:bCs/>
    </w:rPr>
  </w:style>
  <w:style w:type="paragraph" w:styleId="10">
    <w:name w:val="header"/>
    <w:basedOn w:val="1"/>
    <w:link w:val="18"/>
    <w:qFormat/>
    <w:uiPriority w:val="99"/>
    <w:pPr>
      <w:tabs>
        <w:tab w:val="center" w:pos="4677"/>
        <w:tab w:val="right" w:pos="9355"/>
      </w:tabs>
    </w:pPr>
  </w:style>
  <w:style w:type="paragraph" w:styleId="11">
    <w:name w:val="footer"/>
    <w:basedOn w:val="1"/>
    <w:link w:val="19"/>
    <w:qFormat/>
    <w:uiPriority w:val="0"/>
    <w:pPr>
      <w:tabs>
        <w:tab w:val="center" w:pos="4677"/>
        <w:tab w:val="right" w:pos="9355"/>
      </w:tabs>
    </w:pPr>
  </w:style>
  <w:style w:type="paragraph" w:styleId="12">
    <w:name w:val="Normal (Web)"/>
    <w:basedOn w:val="1"/>
    <w:unhideWhenUsed/>
    <w:qFormat/>
    <w:uiPriority w:val="99"/>
    <w:pPr>
      <w:spacing w:before="100" w:beforeAutospacing="1" w:after="100" w:afterAutospacing="1"/>
    </w:pPr>
    <w:rPr>
      <w:rFonts w:ascii="Times New Roman" w:hAnsi="Times New Roman" w:eastAsia="Times New Roman" w:cs="Times New Roman"/>
      <w:sz w:val="24"/>
      <w:szCs w:val="24"/>
      <w:lang w:val="uk-UA" w:eastAsia="uk-UA"/>
    </w:rPr>
  </w:style>
  <w:style w:type="table" w:styleId="13">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unhideWhenUsed/>
    <w:qFormat/>
    <w:uiPriority w:val="34"/>
    <w:pPr>
      <w:ind w:left="720"/>
      <w:contextualSpacing/>
    </w:pPr>
  </w:style>
  <w:style w:type="character" w:customStyle="1" w:styleId="15">
    <w:name w:val="Текст примечания Знак"/>
    <w:basedOn w:val="2"/>
    <w:link w:val="8"/>
    <w:qFormat/>
    <w:uiPriority w:val="0"/>
    <w:rPr>
      <w:lang w:val="en-US" w:eastAsia="zh-CN"/>
    </w:rPr>
  </w:style>
  <w:style w:type="character" w:customStyle="1" w:styleId="16">
    <w:name w:val="Тема примечания Знак"/>
    <w:basedOn w:val="15"/>
    <w:link w:val="9"/>
    <w:qFormat/>
    <w:uiPriority w:val="0"/>
    <w:rPr>
      <w:b/>
      <w:bCs/>
      <w:lang w:val="en-US" w:eastAsia="zh-CN"/>
    </w:rPr>
  </w:style>
  <w:style w:type="character" w:customStyle="1" w:styleId="17">
    <w:name w:val="Текст выноски Знак"/>
    <w:basedOn w:val="2"/>
    <w:link w:val="7"/>
    <w:qFormat/>
    <w:uiPriority w:val="99"/>
    <w:rPr>
      <w:rFonts w:ascii="Segoe UI" w:hAnsi="Segoe UI" w:cs="Segoe UI"/>
      <w:sz w:val="18"/>
      <w:szCs w:val="18"/>
      <w:lang w:val="en-US" w:eastAsia="zh-CN"/>
    </w:rPr>
  </w:style>
  <w:style w:type="character" w:customStyle="1" w:styleId="18">
    <w:name w:val="Верхний колонтитул Знак"/>
    <w:basedOn w:val="2"/>
    <w:link w:val="10"/>
    <w:qFormat/>
    <w:uiPriority w:val="99"/>
    <w:rPr>
      <w:lang w:val="en-US" w:eastAsia="zh-CN"/>
    </w:rPr>
  </w:style>
  <w:style w:type="character" w:customStyle="1" w:styleId="19">
    <w:name w:val="Нижний колонтитул Знак"/>
    <w:basedOn w:val="2"/>
    <w:link w:val="11"/>
    <w:qFormat/>
    <w:uiPriority w:val="0"/>
    <w:rPr>
      <w:lang w:val="en-US" w:eastAsia="zh-CN"/>
    </w:rPr>
  </w:style>
  <w:style w:type="character" w:styleId="20">
    <w:name w:val="Placeholder Text"/>
    <w:basedOn w:val="2"/>
    <w:semiHidden/>
    <w:qFormat/>
    <w:uiPriority w:val="99"/>
    <w:rPr>
      <w:color w:val="808080"/>
    </w:rPr>
  </w:style>
  <w:style w:type="paragraph" w:styleId="21">
    <w:name w:val="No Spacing"/>
    <w:qFormat/>
    <w:uiPriority w:val="1"/>
    <w:rPr>
      <w:rFonts w:asciiTheme="minorHAnsi" w:hAnsiTheme="minorHAnsi" w:eastAsiaTheme="minorHAnsi" w:cstheme="minorBidi"/>
      <w:sz w:val="22"/>
      <w:szCs w:val="22"/>
      <w:lang w:val="uk-UA" w:eastAsia="en-US" w:bidi="ar-SA"/>
    </w:rPr>
  </w:style>
  <w:style w:type="character" w:customStyle="1" w:styleId="22">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hart" Target="charts/chart4.xml"/><Relationship Id="rId7" Type="http://schemas.openxmlformats.org/officeDocument/2006/relationships/chart" Target="charts/chart3.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високий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Лист1!$B$2:$B$5</c:f>
              <c:numCache>
                <c:formatCode>0%</c:formatCode>
                <c:ptCount val="4"/>
                <c:pt idx="0">
                  <c:v>0</c:v>
                </c:pt>
                <c:pt idx="1">
                  <c:v>0</c:v>
                </c:pt>
                <c:pt idx="2">
                  <c:v>0</c:v>
                </c:pt>
                <c:pt idx="3">
                  <c:v>0.3</c:v>
                </c:pt>
              </c:numCache>
            </c:numRef>
          </c:val>
        </c:ser>
        <c:ser>
          <c:idx val="1"/>
          <c:order val="1"/>
          <c:tx>
            <c:strRef>
              <c:f>Лист1!$C$1</c:f>
              <c:strCache>
                <c:ptCount val="1"/>
                <c:pt idx="0">
                  <c:v>середній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Лист1!$C$2:$C$5</c:f>
              <c:numCache>
                <c:formatCode>0%</c:formatCode>
                <c:ptCount val="4"/>
                <c:pt idx="0">
                  <c:v>0.4</c:v>
                </c:pt>
                <c:pt idx="1">
                  <c:v>0.6</c:v>
                </c:pt>
                <c:pt idx="2">
                  <c:v>0.3</c:v>
                </c:pt>
                <c:pt idx="3">
                  <c:v>0.5</c:v>
                </c:pt>
              </c:numCache>
            </c:numRef>
          </c:val>
        </c:ser>
        <c:ser>
          <c:idx val="2"/>
          <c:order val="2"/>
          <c:tx>
            <c:strRef>
              <c:f>Лист1!$D$1</c:f>
              <c:strCache>
                <c:ptCount val="1"/>
                <c:pt idx="0">
                  <c:v>низький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Лист1!$D$2:$D$5</c:f>
              <c:numCache>
                <c:formatCode>0%</c:formatCode>
                <c:ptCount val="4"/>
                <c:pt idx="0">
                  <c:v>0.6</c:v>
                </c:pt>
                <c:pt idx="1">
                  <c:v>0.4</c:v>
                </c:pt>
                <c:pt idx="2">
                  <c:v>0.7</c:v>
                </c:pt>
                <c:pt idx="3">
                  <c:v>0.2</c:v>
                </c:pt>
              </c:numCache>
            </c:numRef>
          </c:val>
        </c:ser>
        <c:dLbls>
          <c:showLegendKey val="0"/>
          <c:showVal val="1"/>
          <c:showCatName val="0"/>
          <c:showSerName val="0"/>
          <c:showPercent val="0"/>
          <c:showBubbleSize val="0"/>
        </c:dLbls>
        <c:gapWidth val="150"/>
        <c:axId val="451937840"/>
        <c:axId val="451942880"/>
      </c:barChart>
      <c:catAx>
        <c:axId val="45193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42880"/>
        <c:crosses val="autoZero"/>
        <c:auto val="1"/>
        <c:lblAlgn val="ctr"/>
        <c:lblOffset val="100"/>
        <c:noMultiLvlLbl val="0"/>
      </c:catAx>
      <c:valAx>
        <c:axId val="451942880"/>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37840"/>
        <c:crosses val="autoZero"/>
        <c:crossBetween val="between"/>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legend>
    <c:plotVisOnly val="1"/>
    <c:dispBlanksAs val="gap"/>
    <c:showDLblsOverMax val="0"/>
    <c:extLst>
      <c:ext uri="{0b15fc19-7d7d-44ad-8c2d-2c3a37ce22c3}">
        <chartProps xmlns="https://web.wps.cn/et/2018/main" chartId="{66ab20b1-43eb-419d-9d1d-6f24f8c71f42}"/>
      </c:ext>
    </c:extLst>
  </c:chart>
  <c:spPr>
    <a:solidFill>
      <a:schemeClr val="bg1"/>
    </a:solidFill>
    <a:ln w="9525" cap="flat" cmpd="sng" algn="ctr">
      <a:noFill/>
      <a:round/>
    </a:ln>
    <a:effectLst/>
  </c:spPr>
  <c:txPr>
    <a:bodyPr/>
    <a:lstStyle/>
    <a:p>
      <a:pPr>
        <a:defRPr lang="ru-RU" sz="1200">
          <a:solidFill>
            <a:sysClr val="windowText" lastClr="000000"/>
          </a:solidFill>
          <a:latin typeface="Times New Roman" panose="02020603050405020304" charset="0"/>
          <a:cs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високий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Лист1!$B$2:$B$5</c:f>
              <c:numCache>
                <c:formatCode>0%</c:formatCode>
                <c:ptCount val="4"/>
                <c:pt idx="0">
                  <c:v>0</c:v>
                </c:pt>
                <c:pt idx="1">
                  <c:v>0</c:v>
                </c:pt>
                <c:pt idx="2">
                  <c:v>0</c:v>
                </c:pt>
                <c:pt idx="3">
                  <c:v>0.3</c:v>
                </c:pt>
              </c:numCache>
            </c:numRef>
          </c:val>
        </c:ser>
        <c:ser>
          <c:idx val="1"/>
          <c:order val="1"/>
          <c:tx>
            <c:strRef>
              <c:f>Лист1!$C$1</c:f>
              <c:strCache>
                <c:ptCount val="1"/>
                <c:pt idx="0">
                  <c:v>середній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Лист1!$C$2:$C$5</c:f>
              <c:numCache>
                <c:formatCode>0%</c:formatCode>
                <c:ptCount val="4"/>
                <c:pt idx="0">
                  <c:v>0.5</c:v>
                </c:pt>
                <c:pt idx="1">
                  <c:v>0.7</c:v>
                </c:pt>
                <c:pt idx="2">
                  <c:v>0.4</c:v>
                </c:pt>
                <c:pt idx="3">
                  <c:v>0.5</c:v>
                </c:pt>
              </c:numCache>
            </c:numRef>
          </c:val>
        </c:ser>
        <c:ser>
          <c:idx val="2"/>
          <c:order val="2"/>
          <c:tx>
            <c:strRef>
              <c:f>Лист1!$D$1</c:f>
              <c:strCache>
                <c:ptCount val="1"/>
                <c:pt idx="0">
                  <c:v>низький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Лист1!$D$2:$D$5</c:f>
              <c:numCache>
                <c:formatCode>0%</c:formatCode>
                <c:ptCount val="4"/>
                <c:pt idx="0">
                  <c:v>0.5</c:v>
                </c:pt>
                <c:pt idx="1">
                  <c:v>0.3</c:v>
                </c:pt>
                <c:pt idx="2">
                  <c:v>0.6</c:v>
                </c:pt>
                <c:pt idx="3">
                  <c:v>0.2</c:v>
                </c:pt>
              </c:numCache>
            </c:numRef>
          </c:val>
        </c:ser>
        <c:dLbls>
          <c:showLegendKey val="0"/>
          <c:showVal val="1"/>
          <c:showCatName val="0"/>
          <c:showSerName val="0"/>
          <c:showPercent val="0"/>
          <c:showBubbleSize val="0"/>
        </c:dLbls>
        <c:gapWidth val="150"/>
        <c:axId val="451937840"/>
        <c:axId val="451942880"/>
      </c:barChart>
      <c:catAx>
        <c:axId val="45193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42880"/>
        <c:crosses val="autoZero"/>
        <c:auto val="1"/>
        <c:lblAlgn val="ctr"/>
        <c:lblOffset val="100"/>
        <c:noMultiLvlLbl val="0"/>
      </c:catAx>
      <c:valAx>
        <c:axId val="451942880"/>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37840"/>
        <c:crosses val="autoZero"/>
        <c:crossBetween val="between"/>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legend>
    <c:plotVisOnly val="1"/>
    <c:dispBlanksAs val="gap"/>
    <c:showDLblsOverMax val="0"/>
    <c:extLst>
      <c:ext uri="{0b15fc19-7d7d-44ad-8c2d-2c3a37ce22c3}">
        <chartProps xmlns="https://web.wps.cn/et/2018/main" chartId="{0d08d3b9-9657-4eb6-8daf-e4f21896b4de}"/>
      </c:ext>
    </c:extLst>
  </c:chart>
  <c:spPr>
    <a:solidFill>
      <a:schemeClr val="bg1"/>
    </a:solidFill>
    <a:ln w="9525" cap="flat" cmpd="sng" algn="ctr">
      <a:noFill/>
      <a:round/>
    </a:ln>
    <a:effectLst/>
  </c:spPr>
  <c:txPr>
    <a:bodyPr/>
    <a:lstStyle/>
    <a:p>
      <a:pPr>
        <a:defRPr lang="ru-RU" sz="1200">
          <a:solidFill>
            <a:sysClr val="windowText" lastClr="000000"/>
          </a:solidFill>
          <a:latin typeface="Times New Roman" panose="02020603050405020304" charset="0"/>
          <a:cs typeface="Times New Roman" panose="02020603050405020304" charset="0"/>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високий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Лист1!$B$2:$B$5</c:f>
              <c:numCache>
                <c:formatCode>0%</c:formatCode>
                <c:ptCount val="4"/>
                <c:pt idx="0">
                  <c:v>0.1</c:v>
                </c:pt>
                <c:pt idx="1">
                  <c:v>0.2</c:v>
                </c:pt>
                <c:pt idx="2">
                  <c:v>0</c:v>
                </c:pt>
                <c:pt idx="3">
                  <c:v>0.4</c:v>
                </c:pt>
              </c:numCache>
            </c:numRef>
          </c:val>
        </c:ser>
        <c:ser>
          <c:idx val="1"/>
          <c:order val="1"/>
          <c:tx>
            <c:strRef>
              <c:f>Лист1!$C$1</c:f>
              <c:strCache>
                <c:ptCount val="1"/>
                <c:pt idx="0">
                  <c:v>середній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Лист1!$C$2:$C$5</c:f>
              <c:numCache>
                <c:formatCode>0%</c:formatCode>
                <c:ptCount val="4"/>
                <c:pt idx="0">
                  <c:v>0.3</c:v>
                </c:pt>
                <c:pt idx="1">
                  <c:v>0.5</c:v>
                </c:pt>
                <c:pt idx="2">
                  <c:v>0.4</c:v>
                </c:pt>
                <c:pt idx="3">
                  <c:v>0.5</c:v>
                </c:pt>
              </c:numCache>
            </c:numRef>
          </c:val>
        </c:ser>
        <c:ser>
          <c:idx val="2"/>
          <c:order val="2"/>
          <c:tx>
            <c:strRef>
              <c:f>Лист1!$D$1</c:f>
              <c:strCache>
                <c:ptCount val="1"/>
                <c:pt idx="0">
                  <c:v>низький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Лист1!$D$2:$D$5</c:f>
              <c:numCache>
                <c:formatCode>0%</c:formatCode>
                <c:ptCount val="4"/>
                <c:pt idx="0">
                  <c:v>0.6</c:v>
                </c:pt>
                <c:pt idx="1">
                  <c:v>0.3</c:v>
                </c:pt>
                <c:pt idx="2">
                  <c:v>0.6</c:v>
                </c:pt>
                <c:pt idx="3">
                  <c:v>0.1</c:v>
                </c:pt>
              </c:numCache>
            </c:numRef>
          </c:val>
        </c:ser>
        <c:dLbls>
          <c:showLegendKey val="0"/>
          <c:showVal val="1"/>
          <c:showCatName val="0"/>
          <c:showSerName val="0"/>
          <c:showPercent val="0"/>
          <c:showBubbleSize val="0"/>
        </c:dLbls>
        <c:gapWidth val="150"/>
        <c:axId val="451937840"/>
        <c:axId val="451942880"/>
      </c:barChart>
      <c:catAx>
        <c:axId val="45193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42880"/>
        <c:crosses val="autoZero"/>
        <c:auto val="1"/>
        <c:lblAlgn val="ctr"/>
        <c:lblOffset val="100"/>
        <c:noMultiLvlLbl val="0"/>
      </c:catAx>
      <c:valAx>
        <c:axId val="451942880"/>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37840"/>
        <c:crosses val="autoZero"/>
        <c:crossBetween val="between"/>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legend>
    <c:plotVisOnly val="1"/>
    <c:dispBlanksAs val="gap"/>
    <c:showDLblsOverMax val="0"/>
    <c:extLst>
      <c:ext uri="{0b15fc19-7d7d-44ad-8c2d-2c3a37ce22c3}">
        <chartProps xmlns="https://web.wps.cn/et/2018/main" chartId="{864496fe-75fc-4156-9e11-147c88d3dc44}"/>
      </c:ext>
    </c:extLst>
  </c:chart>
  <c:spPr>
    <a:solidFill>
      <a:schemeClr val="bg1"/>
    </a:solidFill>
    <a:ln w="9525" cap="flat" cmpd="sng" algn="ctr">
      <a:noFill/>
      <a:round/>
    </a:ln>
    <a:effectLst/>
  </c:spPr>
  <c:txPr>
    <a:bodyPr/>
    <a:lstStyle/>
    <a:p>
      <a:pPr>
        <a:defRPr lang="ru-RU" sz="1200">
          <a:solidFill>
            <a:sysClr val="windowText" lastClr="000000"/>
          </a:solidFill>
          <a:latin typeface="Times New Roman" panose="02020603050405020304" charset="0"/>
          <a:cs typeface="Times New Roman" panose="02020603050405020304" charset="0"/>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високий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Лист1!$B$2:$B$5</c:f>
              <c:numCache>
                <c:formatCode>0%</c:formatCode>
                <c:ptCount val="4"/>
                <c:pt idx="0">
                  <c:v>0</c:v>
                </c:pt>
                <c:pt idx="1">
                  <c:v>0.1</c:v>
                </c:pt>
                <c:pt idx="2">
                  <c:v>0</c:v>
                </c:pt>
                <c:pt idx="3">
                  <c:v>0.2</c:v>
                </c:pt>
              </c:numCache>
            </c:numRef>
          </c:val>
        </c:ser>
        <c:ser>
          <c:idx val="1"/>
          <c:order val="1"/>
          <c:tx>
            <c:strRef>
              <c:f>Лист1!$C$1</c:f>
              <c:strCache>
                <c:ptCount val="1"/>
                <c:pt idx="0">
                  <c:v>середній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Лист1!$C$2:$C$5</c:f>
              <c:numCache>
                <c:formatCode>0%</c:formatCode>
                <c:ptCount val="4"/>
                <c:pt idx="0">
                  <c:v>0.3</c:v>
                </c:pt>
                <c:pt idx="1">
                  <c:v>0.4</c:v>
                </c:pt>
                <c:pt idx="2">
                  <c:v>0.3</c:v>
                </c:pt>
                <c:pt idx="3">
                  <c:v>0.4</c:v>
                </c:pt>
              </c:numCache>
            </c:numRef>
          </c:val>
        </c:ser>
        <c:ser>
          <c:idx val="2"/>
          <c:order val="2"/>
          <c:tx>
            <c:strRef>
              <c:f>Лист1!$D$1</c:f>
              <c:strCache>
                <c:ptCount val="1"/>
                <c:pt idx="0">
                  <c:v>низький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до експерименту КГ</c:v>
                </c:pt>
                <c:pt idx="1">
                  <c:v>після експерименту КГ</c:v>
                </c:pt>
                <c:pt idx="2">
                  <c:v>до експерименту ЕГ</c:v>
                </c:pt>
                <c:pt idx="3">
                  <c:v>піся експерименту ЕГ</c:v>
                </c:pt>
              </c:strCache>
            </c:strRef>
          </c:cat>
          <c:val>
            <c:numRef>
              <c:f>Лист1!$D$2:$D$5</c:f>
              <c:numCache>
                <c:formatCode>0%</c:formatCode>
                <c:ptCount val="4"/>
                <c:pt idx="0">
                  <c:v>0.7</c:v>
                </c:pt>
                <c:pt idx="1">
                  <c:v>0.5</c:v>
                </c:pt>
                <c:pt idx="2">
                  <c:v>0.7</c:v>
                </c:pt>
                <c:pt idx="3">
                  <c:v>0.4</c:v>
                </c:pt>
              </c:numCache>
            </c:numRef>
          </c:val>
        </c:ser>
        <c:dLbls>
          <c:showLegendKey val="0"/>
          <c:showVal val="1"/>
          <c:showCatName val="0"/>
          <c:showSerName val="0"/>
          <c:showPercent val="0"/>
          <c:showBubbleSize val="0"/>
        </c:dLbls>
        <c:gapWidth val="150"/>
        <c:axId val="451937840"/>
        <c:axId val="451942880"/>
      </c:barChart>
      <c:catAx>
        <c:axId val="45193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42880"/>
        <c:crosses val="autoZero"/>
        <c:auto val="1"/>
        <c:lblAlgn val="ctr"/>
        <c:lblOffset val="100"/>
        <c:noMultiLvlLbl val="0"/>
      </c:catAx>
      <c:valAx>
        <c:axId val="451942880"/>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451937840"/>
        <c:crosses val="autoZero"/>
        <c:crossBetween val="between"/>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ru-RU" sz="1200" b="0" i="0" u="none" strike="noStrike" kern="1200" baseline="0">
              <a:solidFill>
                <a:sysClr val="windowText" lastClr="000000"/>
              </a:solidFill>
              <a:latin typeface="Times New Roman" panose="02020603050405020304" charset="0"/>
              <a:ea typeface="+mn-ea"/>
              <a:cs typeface="Times New Roman" panose="02020603050405020304" charset="0"/>
            </a:defRPr>
          </a:pPr>
        </a:p>
      </c:txPr>
    </c:legend>
    <c:plotVisOnly val="1"/>
    <c:dispBlanksAs val="gap"/>
    <c:showDLblsOverMax val="0"/>
    <c:extLst>
      <c:ext uri="{0b15fc19-7d7d-44ad-8c2d-2c3a37ce22c3}">
        <chartProps xmlns="https://web.wps.cn/et/2018/main" chartId="{32db0ccf-1327-4425-9ed3-62c04a8a0de6}"/>
      </c:ext>
    </c:extLst>
  </c:chart>
  <c:spPr>
    <a:solidFill>
      <a:schemeClr val="bg1"/>
    </a:solidFill>
    <a:ln w="9525" cap="flat" cmpd="sng" algn="ctr">
      <a:noFill/>
      <a:round/>
    </a:ln>
    <a:effectLst/>
  </c:spPr>
  <c:txPr>
    <a:bodyPr/>
    <a:lstStyle/>
    <a:p>
      <a:pPr>
        <a:defRPr lang="ru-RU" sz="1200">
          <a:solidFill>
            <a:sysClr val="windowText" lastClr="000000"/>
          </a:solidFill>
          <a:latin typeface="Times New Roman" panose="02020603050405020304" charset="0"/>
          <a:cs typeface="Times New Roman" panose="02020603050405020304" charset="0"/>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4887F-C6A1-4F13-A409-97497E10C4CC}">
  <ds:schemaRefs/>
</ds:datastoreItem>
</file>

<file path=docProps/app.xml><?xml version="1.0" encoding="utf-8"?>
<Properties xmlns="http://schemas.openxmlformats.org/officeDocument/2006/extended-properties" xmlns:vt="http://schemas.openxmlformats.org/officeDocument/2006/docPropsVTypes">
  <Template>Normal</Template>
  <Pages>76</Pages>
  <Words>26304</Words>
  <Characters>149934</Characters>
  <Lines>1249</Lines>
  <Paragraphs>351</Paragraphs>
  <TotalTime>7</TotalTime>
  <ScaleCrop>false</ScaleCrop>
  <LinksUpToDate>false</LinksUpToDate>
  <CharactersWithSpaces>175887</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2024-11-16T10:08:00Z</dcterms:created>
  <dc:creator>Yuri</dc:creator>
  <cp:lastModifiedBy>Єва Юріївна Євдо</cp:lastModifiedBy>
  <dcterms:modified xsi:type="dcterms:W3CDTF">2024-11-17T14:37:33Z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AD930C60D0FA4982959C2FEDEB1E9E07_13</vt:lpwstr>
  </property>
</Properties>
</file>